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161ACD" w:rsidRDefault="00161ACD" w:rsidP="00161ACD">
      <w:pPr>
        <w:pStyle w:val="Heading2"/>
      </w:pPr>
    </w:p>
    <w:p w:rsidR="00161ACD" w:rsidRDefault="00161ACD" w:rsidP="00161ACD">
      <w:pPr>
        <w:pStyle w:val="Heading2"/>
      </w:pPr>
      <w:r>
        <w:lastRenderedPageBreak/>
        <w:t>*** 1AC</w:t>
      </w:r>
    </w:p>
    <w:p w:rsidR="00161ACD" w:rsidRDefault="00161ACD" w:rsidP="00161ACD"/>
    <w:p w:rsidR="00161ACD" w:rsidRDefault="00161ACD" w:rsidP="00161ACD"/>
    <w:p w:rsidR="00161ACD" w:rsidRPr="001A4891" w:rsidRDefault="00161ACD" w:rsidP="00161ACD"/>
    <w:p w:rsidR="00161ACD" w:rsidRDefault="00161ACD" w:rsidP="00161ACD">
      <w:pPr>
        <w:pStyle w:val="Heading3"/>
      </w:pPr>
      <w:r>
        <w:lastRenderedPageBreak/>
        <w:t xml:space="preserve">Contention one is </w:t>
      </w:r>
      <w:r>
        <w:rPr>
          <w:i/>
        </w:rPr>
        <w:t>Victory</w:t>
      </w:r>
    </w:p>
    <w:p w:rsidR="00161ACD" w:rsidRDefault="00161ACD" w:rsidP="00161ACD">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161ACD" w:rsidRPr="004F263A" w:rsidRDefault="00161ACD" w:rsidP="00161ACD">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161ACD" w:rsidRDefault="00161ACD" w:rsidP="00161ACD">
      <w:r>
        <w:rPr>
          <w:rStyle w:val="StyleStyleBold12pt"/>
        </w:rPr>
        <w:t>Lifton, professor of psychiatry at Harvard, 3</w:t>
      </w:r>
      <w:r w:rsidRPr="004F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161ACD" w:rsidRDefault="00161ACD" w:rsidP="00161ACD"/>
    <w:p w:rsidR="00161ACD" w:rsidRDefault="00161ACD" w:rsidP="00161ACD">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xml:space="preserve">.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“’Tis our true policy to steer clear of permanent alliances, with any portion of the foreign world.” That image has been embraced, and often simplified or distorted, by politicians ever since. (He warned against permanent alliances, not alliances in general). </w:t>
      </w:r>
    </w:p>
    <w:p w:rsidR="00161ACD" w:rsidRDefault="00161ACD" w:rsidP="00161ACD">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Lincoln absolutized</w:t>
      </w:r>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All the armies of Europe, Asia and Africa combined, with all the treasure of the earth (our own excepted) in their military chest; with a Buonaparte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exceptionalism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American exceptionalism has always been</w:t>
      </w:r>
      <w:r>
        <w:rPr>
          <w:sz w:val="16"/>
        </w:rPr>
        <w:t>, as the sociologist Seymour Martin Lipset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exceptionalism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exceptionalism were expressed in biblical terms: America was an “Arcadian image of the New World … an Eden from which the serpent and forbidden trees had been thoroughly excluded,” and “a new Promised Land and a New Jerusalem.” The language was that of a postapocalyptic utopia, and remnants of such sentiments persist whenever we speak of ourselves in more secular terms as the “new world.” Important to this feeling of exceptionalism has been a deep sense that America offered unparalleled access to regenerative power. </w:t>
      </w:r>
      <w:proofErr w:type="gramStart"/>
      <w:r>
        <w:rPr>
          <w:sz w:val="16"/>
        </w:rPr>
        <w:t>As Richard Slotkin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Slotkin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exceptionalism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it comes closer to resembling the comic-strip hero Superman than the Nietzschean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161ACD" w:rsidRPr="004F263A" w:rsidRDefault="00161ACD" w:rsidP="00161ACD"/>
    <w:p w:rsidR="00161ACD" w:rsidRPr="004F263A" w:rsidRDefault="00161ACD" w:rsidP="00161ACD"/>
    <w:p w:rsidR="00161ACD" w:rsidRPr="004F263A" w:rsidRDefault="00161ACD" w:rsidP="00161ACD">
      <w:pPr>
        <w:pStyle w:val="Heading4"/>
      </w:pPr>
      <w:r w:rsidRPr="004F263A">
        <w:t xml:space="preserve">Why do we hold such an egotistical self image?  We, as citizens, have lost a war over our </w:t>
      </w:r>
      <w:r w:rsidRPr="004F263A">
        <w:rPr>
          <w:i/>
          <w:u w:val="single"/>
        </w:rPr>
        <w:t>consciences</w:t>
      </w:r>
      <w:r>
        <w:t>.</w:t>
      </w:r>
    </w:p>
    <w:p w:rsidR="00161ACD" w:rsidRPr="004F263A" w:rsidRDefault="00161ACD" w:rsidP="00161ACD">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161ACD" w:rsidRDefault="00161ACD" w:rsidP="00161ACD">
      <w:r w:rsidRPr="004F263A">
        <w:rPr>
          <w:rStyle w:val="StyleStyleBold12pt"/>
        </w:rPr>
        <w:t>Markwick, Lecturer at Simon Fraser University, 10</w:t>
      </w:r>
      <w:r>
        <w:t>—Michael Markwick, Ph.D candidate in philosophy at Simon Fraser University [</w:t>
      </w:r>
      <w:proofErr w:type="gramStart"/>
      <w:r>
        <w:t>Spring</w:t>
      </w:r>
      <w:proofErr w:type="gramEnd"/>
      <w:r>
        <w:t xml:space="preserve"> 2010, “Terror and Democratic Communication,” Ph.D Dissertation, http://summit.sfu.ca/item/9989]</w:t>
      </w:r>
    </w:p>
    <w:p w:rsidR="00161ACD" w:rsidRDefault="00161ACD" w:rsidP="00161ACD">
      <w:pPr>
        <w:rPr>
          <w:rStyle w:val="StyleBoldUnderline"/>
        </w:rPr>
      </w:pPr>
    </w:p>
    <w:p w:rsidR="00161ACD" w:rsidRDefault="00161ACD" w:rsidP="00161ACD">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biopolitical </w:t>
      </w:r>
      <w:r>
        <w:rPr>
          <w:rStyle w:val="StyleBoldUnderline"/>
          <w:highlight w:val="yellow"/>
        </w:rPr>
        <w:t>project of the war on terror is to</w:t>
      </w:r>
      <w:r>
        <w:rPr>
          <w:sz w:val="16"/>
        </w:rPr>
        <w:t xml:space="preserve"> produce, and lay claim to, what Agamben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than theories of total biopolitical oppression</w:t>
      </w:r>
      <w:r>
        <w:rPr>
          <w:sz w:val="16"/>
        </w:rPr>
        <w:t xml:space="preserve"> (e.g. Edkins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biopolitical function as the source of citizenship and arrogator of conscience. They allow a more precise definition of the violence of sovereign power that reduces all of us to homines sacri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161ACD" w:rsidRPr="004F263A" w:rsidRDefault="00161ACD" w:rsidP="00161ACD">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Kymlicka summarizes this project as seeking “equality between groups, and freedom within groups”; the sequestering of deep personal beliefs is essential if we are to allow maximal equality and freedom. (Kymlicka,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161ACD" w:rsidRPr="004F263A" w:rsidRDefault="00161ACD" w:rsidP="00161ACD">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161ACD" w:rsidRPr="004F263A" w:rsidRDefault="00161ACD" w:rsidP="00161ACD"/>
    <w:p w:rsidR="00161ACD" w:rsidRPr="0021263A" w:rsidRDefault="00161ACD" w:rsidP="00161ACD">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161ACD" w:rsidRDefault="00161ACD" w:rsidP="00161ACD">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161ACD" w:rsidRPr="004F263A" w:rsidRDefault="00161ACD" w:rsidP="00161ACD"/>
    <w:p w:rsidR="00161ACD" w:rsidRPr="004F263A" w:rsidRDefault="00161ACD" w:rsidP="00161ACD">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caesaropapist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r>
        <w:rPr>
          <w:rStyle w:val="StyleBoldUnderline"/>
          <w:highlight w:val="yellow"/>
        </w:rPr>
        <w:t>fulfilment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161ACD" w:rsidRDefault="00161ACD" w:rsidP="00161ACD"/>
    <w:p w:rsidR="00161ACD" w:rsidRDefault="00161ACD" w:rsidP="00161ACD">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Ignatieff,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xml:space="preserve">?” (Ignatieff, 2005) </w:t>
      </w:r>
      <w:r>
        <w:rPr>
          <w:rStyle w:val="StyleBoldUnderline"/>
        </w:rPr>
        <w:t xml:space="preserve">My concern is </w:t>
      </w:r>
      <w:r>
        <w:rPr>
          <w:rStyle w:val="StyleBoldUnderline"/>
          <w:highlight w:val="yellow"/>
        </w:rPr>
        <w:t>the biopolitical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biopolitical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161ACD" w:rsidRDefault="00161ACD" w:rsidP="00161ACD"/>
    <w:p w:rsidR="00161ACD" w:rsidRPr="0021263A" w:rsidRDefault="00161ACD" w:rsidP="00161ACD">
      <w:pPr>
        <w:pStyle w:val="Heading4"/>
      </w:pPr>
      <w:r w:rsidRPr="0021263A">
        <w:t>This leads to an apocalyptic violence, insistent on defending the nation at all costs—tha</w:t>
      </w:r>
      <w:r>
        <w:t>t makes annihilation possible</w:t>
      </w:r>
    </w:p>
    <w:p w:rsidR="00161ACD" w:rsidRDefault="00161ACD" w:rsidP="00161ACD">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161ACD" w:rsidRPr="0021263A" w:rsidRDefault="00161ACD" w:rsidP="00161ACD">
      <w:pPr>
        <w:rPr>
          <w:highlight w:val="yellow"/>
        </w:rPr>
      </w:pPr>
    </w:p>
    <w:p w:rsidR="00161ACD" w:rsidRDefault="00161ACD" w:rsidP="00161ACD">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Islamics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Aum Shinrikyo, which released sarin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each, in its excess, nurtures the apocalypticism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161ACD" w:rsidRDefault="00161ACD" w:rsidP="00161ACD"/>
    <w:p w:rsidR="00161ACD" w:rsidRDefault="00161ACD" w:rsidP="00161ACD">
      <w:pPr>
        <w:pStyle w:val="Heading3"/>
      </w:pPr>
      <w:r>
        <w:lastRenderedPageBreak/>
        <w:t>Plan(s)</w:t>
      </w:r>
    </w:p>
    <w:p w:rsidR="00161ACD" w:rsidRPr="00C541CC" w:rsidRDefault="00161ACD" w:rsidP="00161ACD">
      <w:pPr>
        <w:pStyle w:val="Heading4"/>
      </w:pPr>
      <w:r>
        <w:t>The United States Congress should surrender the global war on terror by restricting the President’s authority to introduce armed forces into hostilities.</w:t>
      </w:r>
    </w:p>
    <w:p w:rsidR="00161ACD" w:rsidRDefault="00161ACD" w:rsidP="00161ACD"/>
    <w:p w:rsidR="00161ACD" w:rsidRPr="00703A74" w:rsidRDefault="00161ACD" w:rsidP="00161ACD"/>
    <w:p w:rsidR="00161ACD" w:rsidRDefault="00161ACD" w:rsidP="00161ACD"/>
    <w:p w:rsidR="00161ACD" w:rsidRDefault="00161ACD" w:rsidP="00161ACD">
      <w:pPr>
        <w:pStyle w:val="Heading3"/>
      </w:pPr>
      <w:r>
        <w:lastRenderedPageBreak/>
        <w:t xml:space="preserve">Contention two is </w:t>
      </w:r>
      <w:r w:rsidRPr="004F263A">
        <w:rPr>
          <w:i/>
        </w:rPr>
        <w:t>Surrender</w:t>
      </w:r>
    </w:p>
    <w:p w:rsidR="00161ACD" w:rsidRPr="0021263A" w:rsidRDefault="00161ACD" w:rsidP="00161ACD">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161ACD" w:rsidRDefault="00161ACD" w:rsidP="00161ACD">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161ACD" w:rsidRPr="0021263A" w:rsidRDefault="00161ACD" w:rsidP="00161ACD">
      <w:pPr>
        <w:rPr>
          <w:highlight w:val="yellow"/>
        </w:rPr>
      </w:pPr>
    </w:p>
    <w:p w:rsidR="00161ACD" w:rsidRPr="0021263A" w:rsidRDefault="00161ACD" w:rsidP="00161ACD">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an artificial plunge into totalism</w:t>
      </w:r>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How this psychohistorical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161ACD" w:rsidRPr="0021263A" w:rsidRDefault="00161ACD" w:rsidP="00161ACD"/>
    <w:p w:rsidR="00161ACD" w:rsidRPr="0021263A" w:rsidRDefault="00161ACD" w:rsidP="00161ACD">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161ACD" w:rsidRDefault="00161ACD" w:rsidP="00161ACD">
      <w:r>
        <w:rPr>
          <w:rStyle w:val="StyleStyleBold12pt"/>
        </w:rPr>
        <w:t>Moze, Ph.D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61ACD" w:rsidRPr="0021263A" w:rsidRDefault="00161ACD" w:rsidP="00161ACD"/>
    <w:p w:rsidR="00161ACD" w:rsidRPr="0021263A" w:rsidRDefault="00161ACD" w:rsidP="00161ACD">
      <w:pPr>
        <w:rPr>
          <w:sz w:val="16"/>
        </w:rPr>
      </w:pPr>
      <w:r w:rsidRPr="0021263A">
        <w:rPr>
          <w:sz w:val="16"/>
        </w:rPr>
        <w:t>Surrender and the Ego</w:t>
      </w:r>
    </w:p>
    <w:p w:rsidR="00161ACD" w:rsidRPr="0021263A" w:rsidRDefault="00161ACD" w:rsidP="00161ACD">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(LaMothe,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161ACD" w:rsidRPr="0021263A" w:rsidRDefault="00161ACD" w:rsidP="00161ACD">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0" w:name="31"/>
      <w:bookmarkEnd w:id="0"/>
      <w:r w:rsidRPr="0021263A">
        <w:rPr>
          <w:sz w:val="16"/>
        </w:rPr>
        <w:t>identity (Hidas, 1981). In lieu of more culturally</w:t>
      </w:r>
      <w:r>
        <w:rPr>
          <w:sz w:val="16"/>
        </w:rPr>
        <w:t xml:space="preserve"> </w:t>
      </w:r>
      <w:r w:rsidRPr="0021263A">
        <w:rPr>
          <w:sz w:val="16"/>
        </w:rPr>
        <w:t>sanctioned spiritual practices in the West, our</w:t>
      </w:r>
      <w:r>
        <w:rPr>
          <w:sz w:val="16"/>
        </w:rPr>
        <w:t xml:space="preserve"> </w:t>
      </w:r>
      <w:r w:rsidRPr="0021263A">
        <w:rPr>
          <w:sz w:val="16"/>
        </w:rPr>
        <w:t>need for universal identity and spiritual sustenanc e comes by way of therapy (Some’, 1999), but</w:t>
      </w:r>
      <w:r>
        <w:rPr>
          <w:sz w:val="16"/>
        </w:rPr>
        <w:t xml:space="preserve"> </w:t>
      </w:r>
      <w:r w:rsidRPr="0021263A">
        <w:rPr>
          <w:sz w:val="16"/>
        </w:rPr>
        <w:t>Western therapy focuses heavily on ego strengthenin g and can inadvertently build up the Ego’s</w:t>
      </w:r>
      <w:r>
        <w:rPr>
          <w:sz w:val="16"/>
        </w:rPr>
        <w:t xml:space="preserve"> </w:t>
      </w:r>
      <w:r w:rsidRPr="0021263A">
        <w:rPr>
          <w:sz w:val="16"/>
        </w:rPr>
        <w:t xml:space="preserve">narcissistic muscles. </w:t>
      </w:r>
    </w:p>
    <w:p w:rsidR="00161ACD" w:rsidRPr="0021263A" w:rsidRDefault="00161ACD" w:rsidP="00161ACD">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gramStart"/>
      <w:r w:rsidRPr="0021263A">
        <w:rPr>
          <w:sz w:val="16"/>
        </w:rPr>
        <w:t>fr</w:t>
      </w:r>
      <w:proofErr w:type="gramEnd"/>
      <w:r w:rsidRPr="0021263A">
        <w:rPr>
          <w:sz w:val="16"/>
        </w:rPr>
        <w:t xml:space="preserve"> om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(Hidas, 1981; Leary,</w:t>
      </w:r>
      <w:r>
        <w:rPr>
          <w:sz w:val="16"/>
        </w:rPr>
        <w:t xml:space="preserve"> </w:t>
      </w:r>
      <w:r w:rsidRPr="0021263A">
        <w:rPr>
          <w:sz w:val="16"/>
        </w:rPr>
        <w:t>2004). It is an act of ego strength void of Ego fix ation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(Branscomb, 1991). </w:t>
      </w:r>
    </w:p>
    <w:p w:rsidR="00161ACD" w:rsidRPr="0021263A" w:rsidRDefault="00161ACD" w:rsidP="00161ACD">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behavior can not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 xml:space="preserve">(Baumeister &amp; Vohs,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161ACD" w:rsidRPr="0021263A" w:rsidRDefault="00161ACD" w:rsidP="00161ACD">
      <w:pPr>
        <w:rPr>
          <w:sz w:val="16"/>
        </w:rPr>
      </w:pPr>
      <w:r>
        <w:rPr>
          <w:rStyle w:val="StyleBoldUnderline"/>
        </w:rPr>
        <w:t>It is beneath the fears of the narrow Egoic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(Branscomb, 1991). Surrender eases the burden and</w:t>
      </w:r>
      <w:r>
        <w:rPr>
          <w:sz w:val="16"/>
        </w:rPr>
        <w:t xml:space="preserve"> </w:t>
      </w:r>
      <w:r w:rsidRPr="0021263A">
        <w:rPr>
          <w:sz w:val="16"/>
        </w:rPr>
        <w:t xml:space="preserve">grip of Egoic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161ACD" w:rsidRPr="0021263A" w:rsidRDefault="00161ACD" w:rsidP="00161ACD"/>
    <w:p w:rsidR="00161ACD" w:rsidRPr="0021263A" w:rsidRDefault="00161ACD" w:rsidP="00161ACD">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161ACD" w:rsidRDefault="00161ACD" w:rsidP="00161ACD">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61ACD" w:rsidRPr="0021263A" w:rsidRDefault="00161ACD" w:rsidP="00161ACD"/>
    <w:p w:rsidR="00161ACD" w:rsidRPr="0021263A" w:rsidRDefault="00161ACD" w:rsidP="00161ACD">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161ACD" w:rsidRPr="0021263A" w:rsidRDefault="00161ACD" w:rsidP="00161ACD">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(LaMothe,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unacceptance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(Tiebout,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 xml:space="preserve">betrayal (LaMothe, 2005; Tiebout, 1949). It is ofte n a defense against hopelessness and the </w:t>
      </w:r>
      <w:proofErr w:type="gramStart"/>
      <w:r w:rsidRPr="0021263A">
        <w:rPr>
          <w:sz w:val="16"/>
        </w:rPr>
        <w:t>fear</w:t>
      </w:r>
      <w:r>
        <w:rPr>
          <w:sz w:val="16"/>
        </w:rPr>
        <w:t xml:space="preserve"> </w:t>
      </w:r>
      <w:bookmarkStart w:id="1" w:name="11"/>
      <w:bookmarkEnd w:id="1"/>
      <w:r w:rsidRPr="0021263A">
        <w:rPr>
          <w:sz w:val="16"/>
        </w:rPr>
        <w:t xml:space="preserve"> of</w:t>
      </w:r>
      <w:proofErr w:type="gramEnd"/>
      <w:r w:rsidRPr="0021263A">
        <w:rPr>
          <w:sz w:val="16"/>
        </w:rPr>
        <w:t xml:space="preserve"> the annihilation of one’s sense of identity (LaM othe,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161ACD" w:rsidRPr="0021263A" w:rsidRDefault="00161ACD" w:rsidP="00161ACD">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negotiate a mutually satisfying interpersonal relat ionship. It often accompanies the role of</w:t>
      </w:r>
      <w:r>
        <w:rPr>
          <w:sz w:val="16"/>
        </w:rPr>
        <w:t xml:space="preserve"> </w:t>
      </w:r>
      <w:r w:rsidRPr="0021263A">
        <w:rPr>
          <w:sz w:val="16"/>
        </w:rPr>
        <w:t xml:space="preserve">submission (Ghent, 1990). </w:t>
      </w:r>
      <w:r>
        <w:rPr>
          <w:rStyle w:val="StyleBoldUnderline"/>
        </w:rPr>
        <w:t>Both submission and resignation have a resistant quality about them which maintains an Egoic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resigna tion. </w:t>
      </w:r>
    </w:p>
    <w:p w:rsidR="00161ACD" w:rsidRPr="0021263A" w:rsidRDefault="00161ACD" w:rsidP="00161ACD">
      <w:pPr>
        <w:rPr>
          <w:sz w:val="16"/>
        </w:rPr>
      </w:pPr>
      <w:r w:rsidRPr="0021263A">
        <w:rPr>
          <w:sz w:val="16"/>
        </w:rPr>
        <w:t xml:space="preserve">In comparison, </w:t>
      </w:r>
      <w:r>
        <w:rPr>
          <w:rStyle w:val="StyleBoldUnderline"/>
          <w:highlight w:val="yellow"/>
        </w:rPr>
        <w:t>compliance</w:t>
      </w:r>
      <w:r w:rsidRPr="0021263A">
        <w:rPr>
          <w:sz w:val="16"/>
        </w:rPr>
        <w:t xml:space="preserve"> has a temporariness abou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t o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(Tiebout,</w:t>
      </w:r>
      <w:r>
        <w:rPr>
          <w:sz w:val="16"/>
        </w:rPr>
        <w:t xml:space="preserve"> </w:t>
      </w:r>
      <w:r w:rsidRPr="0021263A">
        <w:rPr>
          <w:sz w:val="16"/>
        </w:rPr>
        <w:t xml:space="preserve">1953). </w:t>
      </w:r>
    </w:p>
    <w:p w:rsidR="00161ACD" w:rsidRPr="0021263A" w:rsidRDefault="00161ACD" w:rsidP="00161ACD">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chang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(Ghe nt, 1990). Rather than an Egotistical defeat, </w:t>
      </w:r>
      <w:r>
        <w:rPr>
          <w:rStyle w:val="StyleBoldUnderline"/>
          <w:highlight w:val="yellow"/>
        </w:rPr>
        <w:t>healthy surrender is a compassionate giving over that rests on trust</w:t>
      </w:r>
      <w:r w:rsidRPr="0021263A">
        <w:rPr>
          <w:sz w:val="16"/>
        </w:rPr>
        <w:t xml:space="preserve"> (LaMothe, 2005). Such</w:t>
      </w:r>
      <w:r>
        <w:rPr>
          <w:sz w:val="16"/>
        </w:rPr>
        <w:t xml:space="preserve"> </w:t>
      </w:r>
      <w:r w:rsidRPr="0021263A">
        <w:rPr>
          <w:sz w:val="16"/>
        </w:rPr>
        <w:t xml:space="preserve">surrender involves commitment, openness, soulful mo tivation, and vibrancy. </w:t>
      </w:r>
    </w:p>
    <w:p w:rsidR="00161ACD" w:rsidRPr="0021263A" w:rsidRDefault="00161ACD" w:rsidP="00161ACD">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Tiebout,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(Parlee,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161ACD" w:rsidRDefault="00161ACD" w:rsidP="00161ACD">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(Branscomb,</w:t>
      </w:r>
      <w:r>
        <w:rPr>
          <w:sz w:val="16"/>
        </w:rPr>
        <w:t xml:space="preserve"> </w:t>
      </w:r>
      <w:r w:rsidRPr="0021263A">
        <w:rPr>
          <w:sz w:val="16"/>
        </w:rPr>
        <w:t xml:space="preserve">1993; Jones, 1994; Tiebout,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161ACD" w:rsidRPr="0021263A" w:rsidRDefault="00161ACD" w:rsidP="00161ACD">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(Branscomb, 1993; Wolff, 1974). It</w:t>
      </w:r>
      <w:r>
        <w:rPr>
          <w:sz w:val="16"/>
        </w:rPr>
        <w:t xml:space="preserve"> </w:t>
      </w:r>
      <w:r w:rsidRPr="0021263A">
        <w:rPr>
          <w:sz w:val="16"/>
        </w:rPr>
        <w:t xml:space="preserve">nourishes the needs of the soul and gently releases the wants of the Ego (Zukav, 1990). </w:t>
      </w:r>
    </w:p>
    <w:p w:rsidR="00161ACD" w:rsidRPr="0021263A" w:rsidRDefault="00161ACD" w:rsidP="00161ACD">
      <w:pPr>
        <w:rPr>
          <w:sz w:val="16"/>
        </w:rPr>
      </w:pPr>
      <w:bookmarkStart w:id="2" w:name="12"/>
      <w:bookmarkEnd w:id="2"/>
      <w:r>
        <w:rPr>
          <w:rStyle w:val="StyleBoldUnderline"/>
          <w:highlight w:val="yellow"/>
        </w:rPr>
        <w:t>An act of surrender is inevitably followed by a state of surrender</w:t>
      </w:r>
      <w:r w:rsidRPr="0021263A">
        <w:rPr>
          <w:sz w:val="16"/>
        </w:rPr>
        <w:t xml:space="preserve"> (Tiebout,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(LaMothe, 200 5). There </w:t>
      </w:r>
      <w:r>
        <w:rPr>
          <w:sz w:val="16"/>
        </w:rPr>
        <w:t xml:space="preserve">is a dynamic flow of emergence </w:t>
      </w:r>
      <w:r w:rsidRPr="0021263A">
        <w:rPr>
          <w:sz w:val="16"/>
        </w:rPr>
        <w:t xml:space="preserve">and waning that actualizes the potential for enhanc </w:t>
      </w:r>
      <w:proofErr w:type="gramStart"/>
      <w:r w:rsidRPr="0021263A">
        <w:rPr>
          <w:sz w:val="16"/>
        </w:rPr>
        <w:t>ed</w:t>
      </w:r>
      <w:proofErr w:type="gramEnd"/>
      <w:r w:rsidRPr="0021263A">
        <w:rPr>
          <w:sz w:val="16"/>
        </w:rPr>
        <w:t xml:space="preserve"> meaning and communion with Other</w:t>
      </w:r>
      <w:r>
        <w:rPr>
          <w:sz w:val="16"/>
        </w:rPr>
        <w:t xml:space="preserve"> </w:t>
      </w:r>
      <w:r w:rsidRPr="0021263A">
        <w:rPr>
          <w:sz w:val="16"/>
        </w:rPr>
        <w:t xml:space="preserve">(LaMothe, 2005). </w:t>
      </w:r>
      <w:r>
        <w:rPr>
          <w:rStyle w:val="StyleBoldUnderline"/>
          <w:highlight w:val="yellow"/>
        </w:rPr>
        <w:t xml:space="preserve">One </w:t>
      </w:r>
      <w:r>
        <w:rPr>
          <w:rStyle w:val="StyleBoldUnderline"/>
          <w:highlight w:val="yellow"/>
        </w:rPr>
        <w:lastRenderedPageBreak/>
        <w:t>does not passively tolerate a situation nor cease personal action; instead, there is an awareness and reciprocity of responsive ness that is improvisational and uncontrolling</w:t>
      </w:r>
      <w:r w:rsidRPr="001D710F">
        <w:rPr>
          <w:sz w:val="16"/>
        </w:rPr>
        <w:t xml:space="preserve"> </w:t>
      </w:r>
      <w:r w:rsidRPr="0021263A">
        <w:rPr>
          <w:sz w:val="16"/>
        </w:rPr>
        <w:t>(Rutledge, 2004; Tolle, 1999). To improvise is to be intuitive</w:t>
      </w:r>
      <w:r>
        <w:rPr>
          <w:sz w:val="16"/>
        </w:rPr>
        <w:t>ly creative; it is a universal capacity!</w:t>
      </w:r>
    </w:p>
    <w:p w:rsidR="00161ACD" w:rsidRPr="001D710F" w:rsidRDefault="00161ACD" w:rsidP="00161ACD">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compl exity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161ACD" w:rsidRPr="0021263A" w:rsidRDefault="00161ACD" w:rsidP="00161ACD">
      <w:pPr>
        <w:rPr>
          <w:sz w:val="16"/>
        </w:rPr>
      </w:pPr>
      <w:r w:rsidRPr="0021263A">
        <w:rPr>
          <w:sz w:val="16"/>
        </w:rPr>
        <w:t xml:space="preserve">I hesitate to offer a definition of surrender, fea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161ACD" w:rsidRPr="0021263A" w:rsidRDefault="00161ACD" w:rsidP="00161ACD"/>
    <w:p w:rsidR="00161ACD" w:rsidRPr="004F263A" w:rsidRDefault="00161ACD" w:rsidP="00161ACD">
      <w:pPr>
        <w:pStyle w:val="Heading4"/>
      </w:pPr>
      <w:r w:rsidRPr="004F263A">
        <w:t>And, by promoting this sort of reflection and thought through the act of surrender, we solve a shift in citizen opinions on the war on terror—the aff is the sort of painful self-examination that creates change</w:t>
      </w:r>
    </w:p>
    <w:p w:rsidR="00161ACD" w:rsidRDefault="00161ACD" w:rsidP="00161ACD">
      <w:r>
        <w:rPr>
          <w:rStyle w:val="StyleStyleBold12pt"/>
        </w:rPr>
        <w:t>Grieder, bestselling author, 4</w:t>
      </w:r>
      <w:r>
        <w:t xml:space="preserve"> [William Greider,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Greider has also served as a correspondent for six Frontline documentaries on PBS, including "Return to Beirut," which won an Emmy in 1985.  “Under the Banner of the ‘War’ on Terror” </w:t>
      </w:r>
      <w:r w:rsidRPr="004F263A">
        <w:t>http://samizdat.cc/shelf/documents/2004/06.07-greider/greider.pdf</w:t>
      </w:r>
      <w:r>
        <w:t>]</w:t>
      </w:r>
    </w:p>
    <w:p w:rsidR="00161ACD" w:rsidRPr="004F263A" w:rsidRDefault="00161ACD" w:rsidP="00161ACD"/>
    <w:p w:rsidR="00161ACD" w:rsidRPr="001D710F" w:rsidRDefault="00161ACD" w:rsidP="00161ACD">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ulate on answers. Was it the uniquely horrific quality of the 9/11 attacks? Or the fact that, unlike Europe, the continental United States has never been bombed? For mod- ern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161ACD" w:rsidRPr="001D710F" w:rsidRDefault="00161ACD" w:rsidP="00161ACD">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161ACD" w:rsidRPr="001D710F" w:rsidRDefault="00161ACD" w:rsidP="00161ACD">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161ACD" w:rsidRPr="004F263A" w:rsidRDefault="00161ACD" w:rsidP="00161ACD"/>
    <w:p w:rsidR="00161ACD" w:rsidRPr="0021263A" w:rsidRDefault="00161ACD" w:rsidP="00161ACD">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161ACD" w:rsidRPr="004F263A" w:rsidRDefault="00161ACD" w:rsidP="00161ACD">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161ACD" w:rsidRDefault="00161ACD" w:rsidP="00161ACD">
      <w:r>
        <w:rPr>
          <w:rStyle w:val="StyleStyleBold12pt"/>
        </w:rPr>
        <w:t>Lifton 3</w:t>
      </w:r>
      <w:r>
        <w:t xml:space="preserve"> [Robert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161ACD" w:rsidRDefault="00161ACD" w:rsidP="00161ACD"/>
    <w:p w:rsidR="00161ACD" w:rsidRPr="001D710F" w:rsidRDefault="00161ACD" w:rsidP="00161ACD">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161ACD" w:rsidRDefault="00161ACD" w:rsidP="00161ACD">
      <w:pPr>
        <w:rPr>
          <w:rStyle w:val="StyleStyleBold12pt"/>
        </w:rPr>
      </w:pPr>
    </w:p>
    <w:p w:rsidR="00161ACD" w:rsidRPr="004F263A" w:rsidRDefault="00161ACD" w:rsidP="00161ACD">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161ACD" w:rsidRDefault="00161ACD" w:rsidP="00161ACD">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161ACD" w:rsidRDefault="00161ACD" w:rsidP="00161ACD"/>
    <w:p w:rsidR="00161ACD" w:rsidRPr="001D710F" w:rsidRDefault="00161ACD" w:rsidP="00161ACD">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Kymlicka’s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161ACD" w:rsidRDefault="00161ACD" w:rsidP="00161ACD"/>
    <w:p w:rsidR="00161ACD" w:rsidRPr="00BE2F9E" w:rsidRDefault="00161ACD" w:rsidP="00161ACD">
      <w:pPr>
        <w:pStyle w:val="Heading4"/>
      </w:pPr>
      <w:r w:rsidRPr="00BE2F9E">
        <w:t xml:space="preserve">Terrorism is politically motivated—only our radical action of stepping back and taking blame can address the real grievences </w:t>
      </w:r>
    </w:p>
    <w:p w:rsidR="00161ACD" w:rsidRDefault="00161ACD" w:rsidP="00161ACD">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161ACD" w:rsidRDefault="00161ACD" w:rsidP="00161ACD"/>
    <w:p w:rsidR="00161ACD" w:rsidRDefault="00161ACD" w:rsidP="00161ACD">
      <w:pPr>
        <w:rPr>
          <w:sz w:val="16"/>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Roehrkasse,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economical,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Aimal Kasi,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Kasi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clichŽs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w:t>
      </w:r>
      <w:r>
        <w:rPr>
          <w:sz w:val="16"/>
        </w:rPr>
        <w:lastRenderedPageBreak/>
        <w:t xml:space="preserve">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Uday and Qusay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xml:space="preserve">. I would then inform Israel that it is no longer the 51st state of the union but -ññ oddly enough -ññ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161ACD" w:rsidRPr="0021263A" w:rsidRDefault="00161ACD" w:rsidP="00161ACD"/>
    <w:p w:rsidR="00161ACD" w:rsidRDefault="00161ACD" w:rsidP="00161ACD">
      <w:pPr>
        <w:pStyle w:val="Heading2"/>
      </w:pPr>
    </w:p>
    <w:p w:rsidR="00161ACD" w:rsidRDefault="00161ACD" w:rsidP="00161ACD">
      <w:pPr>
        <w:pStyle w:val="Heading2"/>
      </w:pPr>
      <w:r>
        <w:lastRenderedPageBreak/>
        <w:t>*** 2AC</w:t>
      </w:r>
    </w:p>
    <w:p w:rsidR="00161ACD" w:rsidRPr="00161ACD" w:rsidRDefault="00161ACD" w:rsidP="00161ACD"/>
    <w:p w:rsidR="00161ACD" w:rsidRDefault="00161ACD" w:rsidP="00161ACD">
      <w:pPr>
        <w:pStyle w:val="Heading3"/>
      </w:pPr>
      <w:r>
        <w:lastRenderedPageBreak/>
        <w:t>2</w:t>
      </w:r>
      <w:r>
        <w:t>AC—AT: G</w:t>
      </w:r>
      <w:r>
        <w:t>ender</w:t>
      </w:r>
      <w:r>
        <w:t>/Lesbian Separatism</w:t>
      </w:r>
    </w:p>
    <w:p w:rsidR="00161ACD" w:rsidRPr="00071187" w:rsidRDefault="00161ACD" w:rsidP="00161ACD">
      <w:pPr>
        <w:pStyle w:val="Heading4"/>
      </w:pPr>
      <w:r w:rsidRPr="00071187">
        <w:t>The plan is key—t</w:t>
      </w:r>
      <w:bookmarkStart w:id="3" w:name="_GoBack"/>
      <w:bookmarkEnd w:id="3"/>
      <w:r w:rsidRPr="00071187">
        <w:t>he security regime we challenge is the archtypical exercise of masculine power</w:t>
      </w:r>
    </w:p>
    <w:p w:rsidR="00161ACD" w:rsidRDefault="00161ACD" w:rsidP="00161ACD">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161ACD" w:rsidRPr="00C63688" w:rsidRDefault="00161ACD" w:rsidP="00161ACD"/>
    <w:p w:rsidR="00161ACD" w:rsidRPr="00C63688" w:rsidRDefault="00161ACD" w:rsidP="00161ACD"/>
    <w:p w:rsidR="00161ACD" w:rsidRPr="00C63688" w:rsidRDefault="00161ACD" w:rsidP="00161ACD">
      <w:r w:rsidRPr="00E37CA9">
        <w:rPr>
          <w:rStyle w:val="StyleBoldUnderline"/>
          <w:highlight w:val="yellow"/>
        </w:rPr>
        <w:t>This construction of the safe citizen is</w:t>
      </w:r>
      <w:r w:rsidRPr="00C63688">
        <w:rPr>
          <w:rStyle w:val="StyleBoldUnderline"/>
        </w:rPr>
        <w:t>,</w:t>
      </w:r>
      <w:r w:rsidRPr="00C63688">
        <w:t xml:space="preserve"> in Iris Marion Young’s reading, </w:t>
      </w:r>
      <w:r w:rsidRPr="00C63688">
        <w:rPr>
          <w:rStyle w:val="StyleBoldUnderline"/>
        </w:rPr>
        <w:t xml:space="preserve">something of </w:t>
      </w:r>
      <w:r w:rsidRPr="00E37CA9">
        <w:rPr>
          <w:rStyle w:val="StyleBoldUnderline"/>
          <w:highlight w:val="yellow"/>
        </w:rPr>
        <w:t>an</w:t>
      </w:r>
      <w:r w:rsidRPr="00C63688">
        <w:rPr>
          <w:rStyle w:val="StyleBoldUnderline"/>
        </w:rPr>
        <w:t xml:space="preserve"> </w:t>
      </w:r>
      <w:r w:rsidRPr="00E37CA9">
        <w:rPr>
          <w:rStyle w:val="StyleBoldUnderline"/>
          <w:highlight w:val="yellow"/>
        </w:rPr>
        <w:t xml:space="preserve">archetypal exercise of </w:t>
      </w:r>
      <w:r w:rsidRPr="00E37CA9">
        <w:rPr>
          <w:rStyle w:val="Emphasis"/>
          <w:highlight w:val="yellow"/>
        </w:rPr>
        <w:t>masculinist</w:t>
      </w:r>
      <w:r w:rsidRPr="00E37CA9">
        <w:rPr>
          <w:rStyle w:val="StyleBoldUnderline"/>
          <w:highlight w:val="yellow"/>
        </w:rPr>
        <w:t xml:space="preserve"> </w:t>
      </w:r>
      <w:r w:rsidRPr="00E37CA9">
        <w:rPr>
          <w:rStyle w:val="Emphasis"/>
          <w:highlight w:val="yellow"/>
        </w:rPr>
        <w:t>power</w:t>
      </w:r>
      <w:r w:rsidRPr="00C63688">
        <w:rPr>
          <w:rStyle w:val="StyleBoldUnderline"/>
        </w:rPr>
        <w:t>,</w:t>
      </w:r>
      <w:r w:rsidRPr="00C63688">
        <w:t xml:space="preserve"> </w:t>
      </w:r>
      <w:r w:rsidRPr="00C63688">
        <w:rPr>
          <w:rStyle w:val="StyleBoldUnderline"/>
        </w:rPr>
        <w:t xml:space="preserve">the drive </w:t>
      </w:r>
      <w:r w:rsidRPr="00E37CA9">
        <w:rPr>
          <w:rStyle w:val="StyleBoldUnderline"/>
          <w:highlight w:val="yellow"/>
        </w:rPr>
        <w:t xml:space="preserve">to protect us from </w:t>
      </w:r>
      <w:r w:rsidRPr="001D13FD">
        <w:rPr>
          <w:rStyle w:val="StyleBoldUnderline"/>
          <w:highlight w:val="yellow"/>
        </w:rPr>
        <w:t>bad men</w:t>
      </w:r>
      <w:r w:rsidRPr="00C63688">
        <w:t xml:space="preserve">. What she finds striking is that </w:t>
      </w:r>
      <w:r w:rsidRPr="00C63688">
        <w:rPr>
          <w:rStyle w:val="StyleBoldUnderline"/>
        </w:rPr>
        <w:t>we do not simply submit to the erosion of privacy and the curtailment of freedoms,</w:t>
      </w:r>
      <w:r w:rsidRPr="00C63688">
        <w:t xml:space="preserve"> be they incidental or fundamental, </w:t>
      </w:r>
      <w:r w:rsidRPr="00C63688">
        <w:rPr>
          <w:rStyle w:val="StyleBoldUnderline"/>
        </w:rPr>
        <w:t>in the security regime</w:t>
      </w:r>
      <w:r w:rsidRPr="00C63688">
        <w:t xml:space="preserve">; </w:t>
      </w:r>
      <w:r w:rsidRPr="00C63688">
        <w:rPr>
          <w:rStyle w:val="Emphasis"/>
        </w:rPr>
        <w:t>we in fact embrace these measures.</w:t>
      </w:r>
      <w:r w:rsidRPr="00C63688">
        <w:t xml:space="preserve"> The security regime claims not only our obedience, but our loyalty and, to use Young’s word, adoration. </w:t>
      </w:r>
    </w:p>
    <w:p w:rsidR="00161ACD" w:rsidRPr="00C63688" w:rsidRDefault="00161ACD" w:rsidP="00161ACD">
      <w:r w:rsidRPr="00C63688">
        <w:rPr>
          <w:rStyle w:val="StyleBoldUnderline"/>
        </w:rPr>
        <w:t>The state pledges to protect us</w:t>
      </w:r>
      <w:r w:rsidRPr="00C63688">
        <w:t xml:space="preserve">, </w:t>
      </w:r>
      <w:r w:rsidRPr="00C63688">
        <w:rPr>
          <w:rStyle w:val="StyleBoldUnderline"/>
        </w:rPr>
        <w:t>but tells us that we should submit to its rule and decisions without deliberation, publicity, criticism or dissent</w:t>
      </w:r>
      <w:r w:rsidRPr="00C63688">
        <w:t xml:space="preserve">. (Young, 2003: 227) </w:t>
      </w:r>
      <w:r w:rsidRPr="00C63688">
        <w:rPr>
          <w:rStyle w:val="StyleBoldUnderline"/>
        </w:rPr>
        <w:t>The deep personal reach of the security regime,</w:t>
      </w:r>
      <w:r w:rsidRPr="00C63688">
        <w:t xml:space="preserve"> its pledge of protection, </w:t>
      </w:r>
      <w:r w:rsidRPr="00C63688">
        <w:rPr>
          <w:rStyle w:val="StyleBoldUnderline"/>
        </w:rPr>
        <w:t>is evident in</w:t>
      </w:r>
      <w:r w:rsidRPr="00C63688">
        <w:t xml:space="preserve"> President Bush’s</w:t>
      </w:r>
      <w:r w:rsidRPr="00C63688">
        <w:rPr>
          <w:rStyle w:val="StyleBoldUnderline"/>
        </w:rPr>
        <w:t xml:space="preserve"> declaration of </w:t>
      </w:r>
      <w:r w:rsidRPr="00C63688">
        <w:rPr>
          <w:rStyle w:val="Emphasis"/>
        </w:rPr>
        <w:t>the war on terror</w:t>
      </w:r>
      <w:r w:rsidRPr="00C63688">
        <w:t xml:space="preserve">. This is not, as mentioned above, a war on terrorism as such. In his address to a Joint Session of Congress nine days after the attacks of 9/11, </w:t>
      </w:r>
      <w:r w:rsidRPr="00C63688">
        <w:rPr>
          <w:rStyle w:val="StyleBoldUnderline"/>
        </w:rPr>
        <w:t xml:space="preserve">Bush affirmed </w:t>
      </w:r>
      <w:r w:rsidRPr="00C63688">
        <w:t xml:space="preserve">“Our grief has turned to anger, and anger to resolution.  </w:t>
      </w:r>
      <w:r w:rsidRPr="00C63688">
        <w:rPr>
          <w:rStyle w:val="StyleBoldUnderline"/>
        </w:rPr>
        <w:t>Whether we bring our enemies to justice, or bring justice to our enemies, justice will be done.</w:t>
      </w:r>
      <w:r w:rsidRPr="00C63688">
        <w:t xml:space="preserve"> […] </w:t>
      </w:r>
      <w:r w:rsidRPr="00C63688">
        <w:rPr>
          <w:rStyle w:val="StyleBoldUnderline"/>
        </w:rPr>
        <w:t>Our war on terror begins with al Qaeda, but it does not end there.  It will not end until every terrorist group of global reach has been found, stopped and defeated</w:t>
      </w:r>
      <w:r w:rsidRPr="00C63688">
        <w:t>.” (Bush, 2001a:  Added emphasis.)</w:t>
      </w:r>
    </w:p>
    <w:p w:rsidR="00161ACD" w:rsidRDefault="00161ACD" w:rsidP="00161ACD">
      <w:r w:rsidRPr="00E37CA9">
        <w:rPr>
          <w:rStyle w:val="StyleBoldUnderline"/>
          <w:highlight w:val="yellow"/>
        </w:rPr>
        <w:t>This war on terror is</w:t>
      </w:r>
      <w:r w:rsidRPr="00E37CA9">
        <w:rPr>
          <w:highlight w:val="yellow"/>
        </w:rPr>
        <w:t>,</w:t>
      </w:r>
      <w:r w:rsidRPr="00C63688">
        <w:t xml:space="preserve"> therefore, </w:t>
      </w:r>
      <w:r w:rsidRPr="00C63688">
        <w:rPr>
          <w:rStyle w:val="StyleBoldUnderline"/>
        </w:rPr>
        <w:t xml:space="preserve">global in scope but </w:t>
      </w:r>
      <w:r w:rsidRPr="00C63688">
        <w:rPr>
          <w:rStyle w:val="Emphasis"/>
        </w:rPr>
        <w:t>with no concrete geopolitical foe</w:t>
      </w:r>
      <w:r w:rsidRPr="00C63688">
        <w:t xml:space="preserve">: </w:t>
      </w:r>
      <w:r w:rsidRPr="00C63688">
        <w:rPr>
          <w:rStyle w:val="StyleBoldUnderline"/>
        </w:rPr>
        <w:t xml:space="preserve">it is a war of deliverance </w:t>
      </w:r>
      <w:r w:rsidRPr="00E37CA9">
        <w:rPr>
          <w:rStyle w:val="Emphasis"/>
          <w:highlight w:val="yellow"/>
        </w:rPr>
        <w:t>from</w:t>
      </w:r>
      <w:r w:rsidRPr="00C63688">
        <w:rPr>
          <w:rStyle w:val="Emphasis"/>
        </w:rPr>
        <w:t xml:space="preserve"> a subjective state, from </w:t>
      </w:r>
      <w:r w:rsidRPr="001D13FD">
        <w:rPr>
          <w:rStyle w:val="Emphasis"/>
          <w:highlight w:val="yellow"/>
        </w:rPr>
        <w:t xml:space="preserve">the condition </w:t>
      </w:r>
      <w:r w:rsidRPr="00E37CA9">
        <w:rPr>
          <w:rStyle w:val="Emphasis"/>
          <w:highlight w:val="yellow"/>
        </w:rPr>
        <w:t>of being in terror</w:t>
      </w:r>
      <w:r w:rsidRPr="00E37CA9">
        <w:rPr>
          <w:rStyle w:val="StyleBoldUnderline"/>
          <w:highlight w:val="yellow"/>
        </w:rPr>
        <w:t xml:space="preserve">. </w:t>
      </w:r>
      <w:r w:rsidRPr="001D13FD">
        <w:rPr>
          <w:rStyle w:val="StyleBoldUnderline"/>
        </w:rPr>
        <w:t>It is therapeutic war</w:t>
      </w:r>
      <w:r w:rsidRPr="001D13FD">
        <w:rPr>
          <w:rStyle w:val="StyleBoldUnderline"/>
          <w:highlight w:val="yellow"/>
        </w:rPr>
        <w:t>.</w:t>
      </w:r>
      <w:r w:rsidRPr="00C63688">
        <w:t xml:space="preserve"> In the security regime, </w:t>
      </w:r>
      <w:r w:rsidRPr="00E37CA9">
        <w:rPr>
          <w:rStyle w:val="StyleBoldUnderline"/>
          <w:highlight w:val="yellow"/>
        </w:rPr>
        <w:t>the aim of masculinist power is to</w:t>
      </w:r>
      <w:r w:rsidRPr="00C63688">
        <w:rPr>
          <w:rStyle w:val="StyleBoldUnderline"/>
        </w:rPr>
        <w:t xml:space="preserve"> </w:t>
      </w:r>
      <w:r w:rsidRPr="00E37CA9">
        <w:rPr>
          <w:rStyle w:val="StyleBoldUnderline"/>
          <w:highlight w:val="yellow"/>
        </w:rPr>
        <w:t>protect us physically</w:t>
      </w:r>
      <w:r w:rsidRPr="00E37CA9">
        <w:rPr>
          <w:highlight w:val="yellow"/>
        </w:rPr>
        <w:t xml:space="preserve">, </w:t>
      </w:r>
      <w:r w:rsidRPr="00E37CA9">
        <w:rPr>
          <w:rStyle w:val="StyleBoldUnderline"/>
          <w:highlight w:val="yellow"/>
        </w:rPr>
        <w:t xml:space="preserve">but also our </w:t>
      </w:r>
      <w:proofErr w:type="gramStart"/>
      <w:r w:rsidRPr="00E37CA9">
        <w:rPr>
          <w:rStyle w:val="StyleBoldUnderline"/>
          <w:highlight w:val="yellow"/>
        </w:rPr>
        <w:t>sense</w:t>
      </w:r>
      <w:proofErr w:type="gramEnd"/>
      <w:r w:rsidRPr="00E37CA9">
        <w:rPr>
          <w:rStyle w:val="StyleBoldUnderline"/>
          <w:highlight w:val="yellow"/>
        </w:rPr>
        <w:t xml:space="preserve"> of well being</w:t>
      </w:r>
      <w:r w:rsidRPr="00E37CA9">
        <w:rPr>
          <w:highlight w:val="yellow"/>
        </w:rPr>
        <w:t>;</w:t>
      </w:r>
      <w:r w:rsidRPr="00C63688">
        <w:t xml:space="preserve"> </w:t>
      </w:r>
      <w:r w:rsidRPr="00C63688">
        <w:rPr>
          <w:rStyle w:val="StyleBoldUnderline"/>
        </w:rPr>
        <w:t>it imposes a beneficence that reaches into our souls</w:t>
      </w:r>
      <w:r w:rsidRPr="00C63688">
        <w:t xml:space="preserve">. Young sees in this </w:t>
      </w:r>
      <w:r w:rsidRPr="00E37CA9">
        <w:rPr>
          <w:rStyle w:val="StyleBoldUnderline"/>
          <w:highlight w:val="yellow"/>
        </w:rPr>
        <w:t>the infantilization of the citizen</w:t>
      </w:r>
      <w:r w:rsidRPr="00C63688">
        <w:rPr>
          <w:rStyle w:val="StyleBoldUnderline"/>
        </w:rPr>
        <w:t xml:space="preserve">, one that we embrace, </w:t>
      </w:r>
      <w:r w:rsidRPr="00E37CA9">
        <w:rPr>
          <w:rStyle w:val="StyleBoldUnderline"/>
          <w:highlight w:val="yellow"/>
        </w:rPr>
        <w:t xml:space="preserve">from a participant in self-governance to </w:t>
      </w:r>
      <w:r w:rsidRPr="00E37CA9">
        <w:rPr>
          <w:rStyle w:val="Emphasis"/>
          <w:highlight w:val="yellow"/>
        </w:rPr>
        <w:t>the cosseted dependent of the executive branch</w:t>
      </w:r>
      <w:r w:rsidRPr="00E37CA9">
        <w:rPr>
          <w:highlight w:val="yellow"/>
        </w:rPr>
        <w:t>.</w:t>
      </w:r>
      <w:r w:rsidRPr="00C63688">
        <w:t xml:space="preserve"> </w:t>
      </w:r>
    </w:p>
    <w:p w:rsidR="00161ACD" w:rsidRDefault="00161ACD" w:rsidP="00161ACD"/>
    <w:p w:rsidR="00161ACD" w:rsidRPr="00071187" w:rsidRDefault="00161ACD" w:rsidP="00161ACD">
      <w:pPr>
        <w:pStyle w:val="Heading4"/>
      </w:pPr>
      <w:r w:rsidRPr="00071187">
        <w:t>Their insistence on negativity and a particular starting point is problematic—only our inclusive approach can create movements and tangible change</w:t>
      </w:r>
    </w:p>
    <w:p w:rsidR="00161ACD" w:rsidRDefault="00161ACD" w:rsidP="00161ACD"/>
    <w:p w:rsidR="00161ACD" w:rsidRPr="00C63688" w:rsidRDefault="00161ACD" w:rsidP="00161ACD">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161ACD" w:rsidRDefault="00161ACD" w:rsidP="00161ACD">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w:t>
      </w:r>
      <w:r w:rsidRPr="00C63688">
        <w:rPr>
          <w:sz w:val="16"/>
          <w:szCs w:val="16"/>
        </w:rPr>
        <w:lastRenderedPageBreak/>
        <w:t xml:space="preserve">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organisations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'Basta!',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r w:rsidRPr="00871CF0">
        <w:rPr>
          <w:rStyle w:val="StyleBoldUnderline"/>
          <w:highlight w:val="yellow"/>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While Basta!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r w:rsidRPr="00871CF0">
        <w:rPr>
          <w:rStyle w:val="Emphasis"/>
          <w:highlight w:val="yellow"/>
        </w:rPr>
        <w:t>programme</w:t>
      </w:r>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individual campaigns extremely useful and effective at times for involving people, raising awareness and mobilising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kratos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system's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w:t>
      </w:r>
      <w:r w:rsidRPr="00C63688">
        <w:rPr>
          <w:sz w:val="16"/>
          <w:szCs w:val="16"/>
        </w:rPr>
        <w:lastRenderedPageBreak/>
        <w:t xml:space="preserve">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161ACD" w:rsidRDefault="00161ACD" w:rsidP="00161ACD">
      <w:pPr>
        <w:rPr>
          <w:sz w:val="16"/>
          <w:szCs w:val="16"/>
        </w:rPr>
      </w:pPr>
    </w:p>
    <w:p w:rsidR="00161ACD" w:rsidRDefault="00161ACD" w:rsidP="00161ACD">
      <w:pPr>
        <w:pStyle w:val="Heading4"/>
      </w:pPr>
      <w:r>
        <w:t>The plan is a prerequisite to the K – must evaluate states of exception in order to understand gender theory. Anything else allows for military intervention in the name of gender equality – Afghanistan proves</w:t>
      </w:r>
    </w:p>
    <w:p w:rsidR="00161ACD" w:rsidRPr="005C4965" w:rsidRDefault="00161ACD" w:rsidP="00161ACD">
      <w:pPr>
        <w:rPr>
          <w:sz w:val="16"/>
          <w:szCs w:val="16"/>
        </w:rPr>
      </w:pPr>
      <w:r w:rsidRPr="00DB122B">
        <w:rPr>
          <w:b/>
        </w:rPr>
        <w:t>Blake 09</w:t>
      </w:r>
      <w:r>
        <w:rPr>
          <w:sz w:val="14"/>
        </w:rPr>
        <w:t xml:space="preserve"> </w:t>
      </w:r>
      <w:r w:rsidRPr="005C4965">
        <w:rPr>
          <w:sz w:val="16"/>
          <w:szCs w:val="16"/>
        </w:rPr>
        <w:t>Sarah Blake</w:t>
      </w:r>
      <w:r>
        <w:rPr>
          <w:sz w:val="16"/>
          <w:szCs w:val="16"/>
        </w:rPr>
        <w:t>,</w:t>
      </w:r>
      <w:r w:rsidRPr="005C4965">
        <w:rPr>
          <w:sz w:val="16"/>
          <w:szCs w:val="16"/>
        </w:rPr>
        <w:t xml:space="preserve"> Journal of International Women's Studies Volume 11 Issue 3 Winning and Short-listed Entries from the 2007 Feminist and Women’s Studies Association Annual Student Essay Competition Article 5 Sep-2009 The War on Terrorism as State of Exception: A Challenge for Transnational Gender Theory http://vc.bridgew.edu/cgi/viewcontent.cgi?article=1192&amp;context=jiws&amp;sei-redir=1&amp;referer=http%3A%2F%2Fscholar.google.com%2Fscholar%3Fstart%3D10%26q%3D%2522gender%2522%2B%2522indefinite%2Bdetention%2522%26hl%3Den%26as_sdt%3D0%2C11#search=%22gender%20indefinite%20detention%22</w:t>
      </w:r>
    </w:p>
    <w:p w:rsidR="00161ACD" w:rsidRDefault="00161ACD" w:rsidP="00161ACD">
      <w:pPr>
        <w:rPr>
          <w:sz w:val="14"/>
        </w:rPr>
      </w:pPr>
      <w:r w:rsidRPr="00E1723C">
        <w:rPr>
          <w:rStyle w:val="StyleBoldUnderline"/>
        </w:rPr>
        <w:t xml:space="preserve">Theoretical </w:t>
      </w:r>
      <w:r w:rsidRPr="00B064D3">
        <w:rPr>
          <w:rStyle w:val="StyleBoldUnderline"/>
          <w:highlight w:val="cyan"/>
        </w:rPr>
        <w:t>engagements of ‘States of exception’ and ‘bare life’ are</w:t>
      </w:r>
      <w:r>
        <w:rPr>
          <w:sz w:val="14"/>
        </w:rPr>
        <w:t xml:space="preserve">, as a rule, </w:t>
      </w:r>
      <w:r w:rsidRPr="00B064D3">
        <w:rPr>
          <w:rStyle w:val="StyleBoldUnderline"/>
          <w:highlight w:val="cyan"/>
        </w:rPr>
        <w:t>critiques of power</w:t>
      </w:r>
      <w:r w:rsidRPr="00E1723C">
        <w:rPr>
          <w:rStyle w:val="StyleBoldUnderline"/>
        </w:rPr>
        <w:t>. Like gender theory, this realm of critical engagement focuses on the consequences of politics and state power on the body</w:t>
      </w:r>
      <w:r>
        <w:rPr>
          <w:sz w:val="14"/>
        </w:rPr>
        <w:t xml:space="preserve">.1 </w:t>
      </w:r>
      <w:r w:rsidRPr="00B064D3">
        <w:rPr>
          <w:rStyle w:val="StyleBoldUnderline"/>
          <w:highlight w:val="cyan"/>
        </w:rPr>
        <w:t>Where gender theory has</w:t>
      </w:r>
      <w:r w:rsidRPr="00B064D3">
        <w:rPr>
          <w:sz w:val="14"/>
          <w:highlight w:val="cyan"/>
        </w:rPr>
        <w:t xml:space="preserve"> </w:t>
      </w:r>
      <w:r>
        <w:rPr>
          <w:sz w:val="14"/>
        </w:rPr>
        <w:t xml:space="preserve">long </w:t>
      </w:r>
      <w:r w:rsidRPr="00B064D3">
        <w:rPr>
          <w:rStyle w:val="StyleBoldUnderline"/>
          <w:highlight w:val="cyan"/>
        </w:rPr>
        <w:t xml:space="preserve">prioritized </w:t>
      </w:r>
      <w:r w:rsidRPr="002C07A0">
        <w:rPr>
          <w:rStyle w:val="StyleBoldUnderline"/>
        </w:rPr>
        <w:t>the body and</w:t>
      </w:r>
      <w:r>
        <w:rPr>
          <w:sz w:val="14"/>
        </w:rPr>
        <w:t xml:space="preserve"> the </w:t>
      </w:r>
      <w:r w:rsidRPr="00B064D3">
        <w:rPr>
          <w:rStyle w:val="StyleBoldUnderline"/>
          <w:highlight w:val="cyan"/>
        </w:rPr>
        <w:t>experience</w:t>
      </w:r>
      <w:r w:rsidRPr="00B064D3">
        <w:rPr>
          <w:sz w:val="14"/>
          <w:highlight w:val="cyan"/>
        </w:rPr>
        <w:t xml:space="preserve"> </w:t>
      </w:r>
      <w:r>
        <w:rPr>
          <w:sz w:val="14"/>
        </w:rPr>
        <w:t xml:space="preserve">of power as a basis for its critiques,2 </w:t>
      </w:r>
      <w:r w:rsidRPr="002C07A0">
        <w:rPr>
          <w:rStyle w:val="StyleBoldUnderline"/>
        </w:rPr>
        <w:t xml:space="preserve">theories of </w:t>
      </w:r>
      <w:r w:rsidRPr="00D0288E">
        <w:rPr>
          <w:rStyle w:val="StyleBoldUnderline"/>
        </w:rPr>
        <w:t xml:space="preserve">bare life and </w:t>
      </w:r>
      <w:r w:rsidRPr="00B064D3">
        <w:rPr>
          <w:rStyle w:val="StyleBoldUnderline"/>
          <w:highlight w:val="cyan"/>
        </w:rPr>
        <w:t xml:space="preserve">the state of exception address violence perpetrated on the body in </w:t>
      </w:r>
      <w:r w:rsidRPr="002C07A0">
        <w:rPr>
          <w:rStyle w:val="StyleBoldUnderline"/>
        </w:rPr>
        <w:t xml:space="preserve">the exercise of </w:t>
      </w:r>
      <w:r w:rsidRPr="00B064D3">
        <w:rPr>
          <w:rStyle w:val="StyleBoldUnderline"/>
          <w:highlight w:val="cyan"/>
        </w:rPr>
        <w:t>extra-legal power</w:t>
      </w:r>
      <w:r>
        <w:rPr>
          <w:sz w:val="14"/>
        </w:rPr>
        <w:t xml:space="preserve">.3 Most significantly, the connections between, and potential contributions of one to the other, revolve around questions of </w:t>
      </w:r>
      <w:r w:rsidRPr="002C07A0">
        <w:rPr>
          <w:rStyle w:val="StyleBoldUnderline"/>
        </w:rPr>
        <w:t xml:space="preserve">what is at stake in analyzing a particular experience of power in a particular way. </w:t>
      </w:r>
      <w:r w:rsidRPr="00B064D3">
        <w:rPr>
          <w:rStyle w:val="StyleBoldUnderline"/>
          <w:b/>
          <w:highlight w:val="cyan"/>
        </w:rPr>
        <w:t xml:space="preserve">The </w:t>
      </w:r>
      <w:r w:rsidRPr="00D0288E">
        <w:rPr>
          <w:rStyle w:val="StyleBoldUnderline"/>
          <w:b/>
        </w:rPr>
        <w:lastRenderedPageBreak/>
        <w:t>focused</w:t>
      </w:r>
      <w:r w:rsidRPr="002C07A0">
        <w:rPr>
          <w:rStyle w:val="StyleBoldUnderline"/>
          <w:b/>
        </w:rPr>
        <w:t xml:space="preserve">, ethical </w:t>
      </w:r>
      <w:r w:rsidRPr="00B064D3">
        <w:rPr>
          <w:rStyle w:val="StyleBoldUnderline"/>
          <w:b/>
          <w:highlight w:val="cyan"/>
        </w:rPr>
        <w:t>urgency of theoretical engagements of states of exception has much to offer gender theory</w:t>
      </w:r>
      <w:r>
        <w:rPr>
          <w:sz w:val="14"/>
        </w:rPr>
        <w:t xml:space="preserve">. Put simply, </w:t>
      </w:r>
      <w:r w:rsidRPr="00B064D3">
        <w:rPr>
          <w:rStyle w:val="StyleBoldUnderline"/>
          <w:b/>
          <w:highlight w:val="cyan"/>
        </w:rPr>
        <w:t xml:space="preserve">it illuminates </w:t>
      </w:r>
      <w:r w:rsidRPr="002C07A0">
        <w:rPr>
          <w:rStyle w:val="StyleBoldUnderline"/>
          <w:b/>
        </w:rPr>
        <w:t xml:space="preserve">the stakes of </w:t>
      </w:r>
      <w:r w:rsidRPr="00B064D3">
        <w:rPr>
          <w:rStyle w:val="StyleBoldUnderline"/>
          <w:b/>
          <w:highlight w:val="cyan"/>
        </w:rPr>
        <w:t xml:space="preserve">issues </w:t>
      </w:r>
      <w:r w:rsidRPr="002C07A0">
        <w:rPr>
          <w:rStyle w:val="StyleBoldUnderline"/>
          <w:b/>
        </w:rPr>
        <w:t>that are</w:t>
      </w:r>
      <w:r>
        <w:rPr>
          <w:sz w:val="14"/>
        </w:rPr>
        <w:t xml:space="preserve"> already </w:t>
      </w:r>
      <w:r w:rsidRPr="00B064D3">
        <w:rPr>
          <w:rStyle w:val="StyleBoldUnderline"/>
          <w:b/>
          <w:highlight w:val="cyan"/>
        </w:rPr>
        <w:t>under consideration by gender scholars</w:t>
      </w:r>
      <w:r>
        <w:rPr>
          <w:sz w:val="14"/>
        </w:rPr>
        <w:t xml:space="preserve">. The struggle over representations of the ‘Muslim Woman’ in American popular discourse in the early 2000’s is instructive. In this essay, </w:t>
      </w:r>
      <w:r w:rsidRPr="00CB666C">
        <w:rPr>
          <w:rStyle w:val="StyleBoldUnderline"/>
        </w:rPr>
        <w:t xml:space="preserve">I will discuss how specific works in both theoretical traditions deconstruct the idea that </w:t>
      </w:r>
      <w:r w:rsidRPr="00D0288E">
        <w:rPr>
          <w:rStyle w:val="StyleBoldUnderline"/>
        </w:rPr>
        <w:t>the United States’ response to the terrorist attacks on September 11 was natural, inevitable and justified</w:t>
      </w:r>
      <w:r w:rsidRPr="00D0288E">
        <w:rPr>
          <w:sz w:val="14"/>
        </w:rPr>
        <w:t xml:space="preserve">. The ‘war on terrorism,’ was justified by the claim of an intractable, culturally inscribed opposition of cultures. </w:t>
      </w:r>
      <w:r w:rsidRPr="00D0288E">
        <w:rPr>
          <w:rStyle w:val="StyleBoldUnderline"/>
        </w:rPr>
        <w:t>The challenges</w:t>
      </w:r>
      <w:r w:rsidRPr="00D0288E">
        <w:rPr>
          <w:sz w:val="14"/>
        </w:rPr>
        <w:t xml:space="preserve"> to this claim that I will explore here carry ethical questions for academics, and </w:t>
      </w:r>
      <w:r w:rsidRPr="00D0288E">
        <w:rPr>
          <w:rStyle w:val="StyleBoldUnderline"/>
        </w:rPr>
        <w:t>raise new possibilities for critiques of state power and violence</w:t>
      </w:r>
      <w:r w:rsidRPr="00D0288E">
        <w:rPr>
          <w:sz w:val="14"/>
        </w:rPr>
        <w:t>.</w:t>
      </w:r>
      <w:r>
        <w:rPr>
          <w:sz w:val="14"/>
        </w:rPr>
        <w:t xml:space="preserve"> </w:t>
      </w:r>
    </w:p>
    <w:p w:rsidR="00161ACD" w:rsidRPr="00B064D3" w:rsidRDefault="00161ACD" w:rsidP="00161ACD">
      <w:pPr>
        <w:rPr>
          <w:rStyle w:val="StyleBoldUnderline"/>
          <w:b/>
          <w:highlight w:val="cyan"/>
        </w:rPr>
      </w:pPr>
      <w:r w:rsidRPr="00B37751">
        <w:rPr>
          <w:rStyle w:val="StyleBoldUnderline"/>
        </w:rPr>
        <w:t>Questions regarding</w:t>
      </w:r>
      <w:r>
        <w:rPr>
          <w:sz w:val="14"/>
        </w:rPr>
        <w:t xml:space="preserve"> the </w:t>
      </w:r>
      <w:r w:rsidRPr="00B37751">
        <w:rPr>
          <w:rStyle w:val="StyleBoldUnderline"/>
        </w:rPr>
        <w:t>historical and discursive constructions</w:t>
      </w:r>
      <w:r>
        <w:rPr>
          <w:sz w:val="14"/>
        </w:rPr>
        <w:t xml:space="preserve"> of what constitutes natural or inevitable power dynamics, </w:t>
      </w:r>
      <w:r w:rsidRPr="00B37751">
        <w:rPr>
          <w:rStyle w:val="StyleBoldUnderline"/>
        </w:rPr>
        <w:t>the role of the academic in the world and the interpretation of personal experience of political institutions are priorities for</w:t>
      </w:r>
      <w:r>
        <w:rPr>
          <w:sz w:val="14"/>
        </w:rPr>
        <w:t xml:space="preserve"> theorists working in </w:t>
      </w:r>
      <w:r w:rsidRPr="00B37751">
        <w:rPr>
          <w:rStyle w:val="StyleBoldUnderline"/>
        </w:rPr>
        <w:t>both</w:t>
      </w:r>
      <w:r>
        <w:rPr>
          <w:sz w:val="14"/>
        </w:rPr>
        <w:t xml:space="preserve"> fields of </w:t>
      </w:r>
      <w:r w:rsidRPr="00B37751">
        <w:rPr>
          <w:rStyle w:val="StyleBoldUnderline"/>
        </w:rPr>
        <w:t>bare life and gender theory</w:t>
      </w:r>
      <w:r>
        <w:rPr>
          <w:sz w:val="14"/>
        </w:rPr>
        <w:t xml:space="preserve">. Beginning from these shared questions, </w:t>
      </w:r>
      <w:r w:rsidRPr="00D0288E">
        <w:rPr>
          <w:rStyle w:val="StyleBoldUnderline"/>
          <w:b/>
        </w:rPr>
        <w:t xml:space="preserve">it becomes evident that theories of the state of exception and gender theory have much to offer each other. </w:t>
      </w:r>
      <w:r w:rsidRPr="00B064D3">
        <w:rPr>
          <w:rStyle w:val="StyleBoldUnderline"/>
          <w:b/>
          <w:highlight w:val="cyan"/>
        </w:rPr>
        <w:t xml:space="preserve">A conversation between them can illuminate </w:t>
      </w:r>
      <w:r w:rsidRPr="00E74518">
        <w:rPr>
          <w:rStyle w:val="StyleBoldUnderline"/>
          <w:b/>
        </w:rPr>
        <w:t xml:space="preserve">historical, </w:t>
      </w:r>
      <w:r w:rsidRPr="00B064D3">
        <w:rPr>
          <w:rStyle w:val="StyleBoldUnderline"/>
          <w:b/>
          <w:highlight w:val="cyan"/>
        </w:rPr>
        <w:t xml:space="preserve">social, cultural and legal contexts for </w:t>
      </w:r>
      <w:r w:rsidRPr="009E1EFA">
        <w:rPr>
          <w:rStyle w:val="StyleBoldUnderline"/>
          <w:b/>
        </w:rPr>
        <w:t xml:space="preserve">particular, pressing </w:t>
      </w:r>
      <w:r w:rsidRPr="00B064D3">
        <w:rPr>
          <w:rStyle w:val="StyleBoldUnderline"/>
          <w:b/>
          <w:highlight w:val="cyan"/>
        </w:rPr>
        <w:t>ethical demands.</w:t>
      </w:r>
    </w:p>
    <w:p w:rsidR="00161ACD" w:rsidRPr="00865E50" w:rsidRDefault="00161ACD" w:rsidP="00161ACD">
      <w:pPr>
        <w:rPr>
          <w:rStyle w:val="StyleBoldUnderline"/>
          <w:b/>
        </w:rPr>
      </w:pPr>
      <w:r w:rsidRPr="008738C6">
        <w:rPr>
          <w:rStyle w:val="StyleBoldUnderline"/>
        </w:rPr>
        <w:t xml:space="preserve">The focus of recent theoretical engagements on </w:t>
      </w:r>
      <w:r w:rsidRPr="00B064D3">
        <w:rPr>
          <w:rStyle w:val="StyleBoldUnderline"/>
          <w:highlight w:val="cyan"/>
        </w:rPr>
        <w:t xml:space="preserve">the ways that states of exception are constructed and preserved resonates with gender theory’s </w:t>
      </w:r>
      <w:r w:rsidRPr="008738C6">
        <w:rPr>
          <w:rStyle w:val="StyleBoldUnderline"/>
        </w:rPr>
        <w:t xml:space="preserve">ongoing </w:t>
      </w:r>
      <w:r w:rsidRPr="00B064D3">
        <w:rPr>
          <w:rStyle w:val="StyleBoldUnderline"/>
          <w:highlight w:val="cyan"/>
        </w:rPr>
        <w:t>struggle with</w:t>
      </w:r>
      <w:r w:rsidRPr="00D0288E">
        <w:rPr>
          <w:rStyle w:val="StyleBoldUnderline"/>
        </w:rPr>
        <w:t xml:space="preserve"> political and social exercise of </w:t>
      </w:r>
      <w:r w:rsidRPr="00B064D3">
        <w:rPr>
          <w:rStyle w:val="StyleBoldUnderline"/>
          <w:highlight w:val="cyan"/>
        </w:rPr>
        <w:t xml:space="preserve">power </w:t>
      </w:r>
      <w:r w:rsidRPr="00D0288E">
        <w:rPr>
          <w:rStyle w:val="StyleBoldUnderline"/>
        </w:rPr>
        <w:t>internationally</w:t>
      </w:r>
      <w:r>
        <w:rPr>
          <w:sz w:val="14"/>
        </w:rPr>
        <w:t xml:space="preserve">. With the centrality of the image of the ‘Muslim Woman’ in arguments for the invasion of Afghanistan in 2001 and in the years since, </w:t>
      </w:r>
      <w:r w:rsidRPr="00B064D3">
        <w:rPr>
          <w:rStyle w:val="StyleBoldUnderline"/>
          <w:b/>
          <w:highlight w:val="cyan"/>
        </w:rPr>
        <w:t>gender theorists</w:t>
      </w:r>
      <w:r>
        <w:rPr>
          <w:sz w:val="14"/>
        </w:rPr>
        <w:t xml:space="preserve">, including Lila Abu-Lughod and Judith Butler, </w:t>
      </w:r>
      <w:r w:rsidRPr="00B064D3">
        <w:rPr>
          <w:rStyle w:val="StyleBoldUnderline"/>
          <w:b/>
          <w:highlight w:val="cyan"/>
        </w:rPr>
        <w:t xml:space="preserve">have </w:t>
      </w:r>
      <w:r w:rsidRPr="00865E50">
        <w:rPr>
          <w:rStyle w:val="StyleBoldUnderline"/>
          <w:b/>
        </w:rPr>
        <w:t xml:space="preserve">- explicitly or implicitly - </w:t>
      </w:r>
      <w:r w:rsidRPr="00B064D3">
        <w:rPr>
          <w:rStyle w:val="StyleBoldUnderline"/>
          <w:b/>
          <w:highlight w:val="cyan"/>
        </w:rPr>
        <w:t>engaged with the multiple ways that states of exception are constructed and justified</w:t>
      </w:r>
      <w:r w:rsidRPr="00B064D3">
        <w:rPr>
          <w:rStyle w:val="StyleBoldUnderline"/>
          <w:highlight w:val="cyan"/>
        </w:rPr>
        <w:t xml:space="preserve">. From the lead-up to the invasion of Afghanistan through the </w:t>
      </w:r>
      <w:r w:rsidRPr="00FC0D2E">
        <w:rPr>
          <w:rStyle w:val="StyleBoldUnderline"/>
        </w:rPr>
        <w:t xml:space="preserve">spectacle of the </w:t>
      </w:r>
      <w:r w:rsidRPr="00B064D3">
        <w:rPr>
          <w:rStyle w:val="StyleBoldUnderline"/>
          <w:highlight w:val="cyan"/>
        </w:rPr>
        <w:t xml:space="preserve">abuses at Abu Ghraib and </w:t>
      </w:r>
      <w:r w:rsidRPr="00D0288E">
        <w:rPr>
          <w:rStyle w:val="StyleBoldUnderline"/>
          <w:highlight w:val="cyan"/>
        </w:rPr>
        <w:t xml:space="preserve">continuing today, as a new administration </w:t>
      </w:r>
      <w:r w:rsidRPr="00B064D3">
        <w:rPr>
          <w:rStyle w:val="StyleBoldUnderline"/>
          <w:highlight w:val="cyan"/>
        </w:rPr>
        <w:t xml:space="preserve">struggles with the “war on terrorism ,” (in both discourse and policy), the </w:t>
      </w:r>
      <w:r w:rsidRPr="00FC0D2E">
        <w:rPr>
          <w:rStyle w:val="StyleBoldUnderline"/>
        </w:rPr>
        <w:t xml:space="preserve">multiple ‘fronts’ in what has become an increasingly </w:t>
      </w:r>
      <w:r w:rsidRPr="00B064D3">
        <w:rPr>
          <w:rStyle w:val="StyleBoldUnderline"/>
          <w:highlight w:val="cyan"/>
        </w:rPr>
        <w:t>nebulous, global conflict, have been understood in gendered, sexualized terms</w:t>
      </w:r>
      <w:r>
        <w:rPr>
          <w:sz w:val="14"/>
        </w:rPr>
        <w:t>. Giorgio Agamben contends, “</w:t>
      </w:r>
      <w:r w:rsidRPr="00B064D3">
        <w:rPr>
          <w:rStyle w:val="StyleBoldUnderline"/>
          <w:highlight w:val="cyan"/>
        </w:rPr>
        <w:t xml:space="preserve">the essential task of a theory of the state of exception is not simply to clarify </w:t>
      </w:r>
      <w:r w:rsidRPr="00FC0D2E">
        <w:rPr>
          <w:rStyle w:val="StyleBoldUnderline"/>
        </w:rPr>
        <w:t xml:space="preserve">whether it has juridical nature or not, </w:t>
      </w:r>
      <w:r w:rsidRPr="00B064D3">
        <w:rPr>
          <w:rStyle w:val="StyleBoldUnderline"/>
          <w:highlight w:val="cyan"/>
        </w:rPr>
        <w:t>but to define the meaning, place, and modes of its relation to the law</w:t>
      </w:r>
      <w:r>
        <w:rPr>
          <w:sz w:val="14"/>
        </w:rPr>
        <w:t xml:space="preserve">.” 4 He finds the state of exception </w:t>
      </w:r>
      <w:r w:rsidRPr="00FC0D2E">
        <w:rPr>
          <w:rStyle w:val="StyleBoldUnderline"/>
        </w:rPr>
        <w:t>pervading institutions beyond new detention centers or legal procedures</w:t>
      </w:r>
      <w:r>
        <w:rPr>
          <w:sz w:val="14"/>
        </w:rPr>
        <w:t xml:space="preserve">. Here, </w:t>
      </w:r>
      <w:r w:rsidRPr="00B064D3">
        <w:rPr>
          <w:rStyle w:val="StyleBoldUnderline"/>
          <w:b/>
          <w:highlight w:val="cyan"/>
        </w:rPr>
        <w:t xml:space="preserve">the investment that many feminist scholars share in discourse and representation </w:t>
      </w:r>
      <w:r w:rsidRPr="00865E50">
        <w:rPr>
          <w:rStyle w:val="StyleBoldUnderline"/>
          <w:b/>
        </w:rPr>
        <w:t xml:space="preserve">– in politics, media, and academia can </w:t>
      </w:r>
      <w:r w:rsidRPr="00B064D3">
        <w:rPr>
          <w:rStyle w:val="StyleBoldUnderline"/>
          <w:b/>
          <w:highlight w:val="cyan"/>
        </w:rPr>
        <w:t>find an ally in engagements of the state of exception</w:t>
      </w:r>
      <w:r w:rsidRPr="00865E50">
        <w:rPr>
          <w:rStyle w:val="StyleBoldUnderline"/>
          <w:b/>
        </w:rPr>
        <w:t>.</w:t>
      </w:r>
    </w:p>
    <w:p w:rsidR="00161ACD" w:rsidRPr="00567F38" w:rsidRDefault="00161ACD" w:rsidP="00161ACD">
      <w:pPr>
        <w:rPr>
          <w:rStyle w:val="StyleBoldUnderline"/>
        </w:rPr>
      </w:pPr>
      <w:r w:rsidRPr="00B064D3">
        <w:rPr>
          <w:rStyle w:val="StyleBoldUnderline"/>
          <w:highlight w:val="cyan"/>
        </w:rPr>
        <w:t xml:space="preserve">The dominant discourse </w:t>
      </w:r>
      <w:r w:rsidRPr="00865E50">
        <w:rPr>
          <w:rStyle w:val="StyleBoldUnderline"/>
        </w:rPr>
        <w:t>used by the United States’ government</w:t>
      </w:r>
      <w:r>
        <w:rPr>
          <w:sz w:val="14"/>
        </w:rPr>
        <w:t xml:space="preserve"> under the Bush administration </w:t>
      </w:r>
      <w:r w:rsidRPr="00B064D3">
        <w:rPr>
          <w:rStyle w:val="StyleBoldUnderline"/>
          <w:highlight w:val="cyan"/>
        </w:rPr>
        <w:t xml:space="preserve">treated </w:t>
      </w:r>
      <w:r w:rsidRPr="00865E50">
        <w:rPr>
          <w:rStyle w:val="StyleBoldUnderline"/>
        </w:rPr>
        <w:t xml:space="preserve">the </w:t>
      </w:r>
      <w:r w:rsidRPr="00B064D3">
        <w:rPr>
          <w:rStyle w:val="StyleBoldUnderline"/>
          <w:highlight w:val="cyan"/>
        </w:rPr>
        <w:t xml:space="preserve">‘war’ as exceptional </w:t>
      </w:r>
      <w:r w:rsidRPr="00D0288E">
        <w:rPr>
          <w:rStyle w:val="StyleBoldUnderline"/>
        </w:rPr>
        <w:t>at every level</w:t>
      </w:r>
      <w:r w:rsidRPr="00865E50">
        <w:rPr>
          <w:rStyle w:val="StyleBoldUnderline"/>
        </w:rPr>
        <w:t>: a new kind of war, with a global reach and exceptional urgency, requiring exceptional exercises of power, and the suspension of normal legal processes.</w:t>
      </w:r>
      <w:r>
        <w:rPr>
          <w:sz w:val="14"/>
        </w:rPr>
        <w:t xml:space="preserve"> When it comes to concrete interactions, </w:t>
      </w:r>
      <w:r w:rsidRPr="00B064D3">
        <w:rPr>
          <w:rStyle w:val="StyleBoldUnderline"/>
          <w:highlight w:val="cyan"/>
        </w:rPr>
        <w:t xml:space="preserve">both the </w:t>
      </w:r>
      <w:r w:rsidRPr="00865E50">
        <w:rPr>
          <w:rStyle w:val="StyleBoldUnderline"/>
        </w:rPr>
        <w:t xml:space="preserve">United States </w:t>
      </w:r>
      <w:r w:rsidRPr="00B064D3">
        <w:rPr>
          <w:rStyle w:val="StyleBoldUnderline"/>
          <w:highlight w:val="cyan"/>
        </w:rPr>
        <w:t xml:space="preserve">government and </w:t>
      </w:r>
      <w:r w:rsidRPr="00865E50">
        <w:rPr>
          <w:rStyle w:val="StyleBoldUnderline"/>
        </w:rPr>
        <w:t xml:space="preserve">the </w:t>
      </w:r>
      <w:r w:rsidRPr="00B064D3">
        <w:rPr>
          <w:rStyle w:val="StyleBoldUnderline"/>
          <w:highlight w:val="cyan"/>
        </w:rPr>
        <w:t>detainees are treated as exceptional</w:t>
      </w:r>
      <w:r w:rsidRPr="00865E50">
        <w:rPr>
          <w:rStyle w:val="StyleBoldUnderline"/>
        </w:rPr>
        <w:t xml:space="preserve">, involving neither a normal armed conflict or criminal endeavor, but </w:t>
      </w:r>
      <w:r w:rsidRPr="00B064D3">
        <w:rPr>
          <w:rStyle w:val="StyleBoldUnderline"/>
          <w:highlight w:val="cyan"/>
        </w:rPr>
        <w:t xml:space="preserve">a </w:t>
      </w:r>
      <w:r w:rsidRPr="00865E50">
        <w:rPr>
          <w:rStyle w:val="StyleBoldUnderline"/>
        </w:rPr>
        <w:t xml:space="preserve">grand </w:t>
      </w:r>
      <w:r w:rsidRPr="00B064D3">
        <w:rPr>
          <w:rStyle w:val="StyleBoldUnderline"/>
          <w:highlight w:val="cyan"/>
        </w:rPr>
        <w:t>struggle between good and evil. This exception</w:t>
      </w:r>
      <w:r>
        <w:rPr>
          <w:sz w:val="14"/>
        </w:rPr>
        <w:t xml:space="preserve">, in the form of claims that normal law does not apply, </w:t>
      </w:r>
      <w:r w:rsidRPr="00B064D3">
        <w:rPr>
          <w:rStyle w:val="StyleBoldUnderline"/>
          <w:highlight w:val="cyan"/>
        </w:rPr>
        <w:t xml:space="preserve">is a subject that demands investigation </w:t>
      </w:r>
      <w:r w:rsidRPr="00567F38">
        <w:rPr>
          <w:rStyle w:val="StyleBoldUnderline"/>
        </w:rPr>
        <w:t xml:space="preserve">both </w:t>
      </w:r>
      <w:r w:rsidRPr="00D0288E">
        <w:rPr>
          <w:rStyle w:val="StyleBoldUnderline"/>
        </w:rPr>
        <w:t xml:space="preserve">in </w:t>
      </w:r>
      <w:r w:rsidRPr="00567F38">
        <w:rPr>
          <w:rStyle w:val="StyleBoldUnderline"/>
        </w:rPr>
        <w:t xml:space="preserve">relation explicit </w:t>
      </w:r>
      <w:r w:rsidRPr="00D0288E">
        <w:rPr>
          <w:rStyle w:val="StyleBoldUnderline"/>
        </w:rPr>
        <w:t xml:space="preserve">theoretical engagements of bare life and the state of exception and </w:t>
      </w:r>
      <w:r w:rsidRPr="00B064D3">
        <w:rPr>
          <w:rStyle w:val="StyleBoldUnderline"/>
          <w:highlight w:val="cyan"/>
        </w:rPr>
        <w:t>in relation to gender theory</w:t>
      </w:r>
      <w:r w:rsidRPr="00D0288E">
        <w:rPr>
          <w:rStyle w:val="StyleBoldUnderline"/>
        </w:rPr>
        <w:t>, as it was established in explicitly gendered terms</w:t>
      </w:r>
      <w:r w:rsidRPr="00567F38">
        <w:rPr>
          <w:rStyle w:val="StyleBoldUnderline"/>
        </w:rPr>
        <w:t>.</w:t>
      </w:r>
    </w:p>
    <w:p w:rsidR="00161ACD" w:rsidRDefault="00161ACD" w:rsidP="00161ACD">
      <w:pPr>
        <w:rPr>
          <w:rStyle w:val="StyleBoldUnderline"/>
          <w:b/>
        </w:rPr>
      </w:pPr>
      <w:r w:rsidRPr="00B064D3">
        <w:rPr>
          <w:rStyle w:val="StyleBoldUnderline"/>
          <w:b/>
          <w:highlight w:val="cyan"/>
        </w:rPr>
        <w:t>To discuss the gender dimensions of the ‘war on terrorism,’</w:t>
      </w:r>
      <w:r w:rsidRPr="00D0288E">
        <w:rPr>
          <w:rStyle w:val="StyleBoldUnderline"/>
          <w:b/>
        </w:rPr>
        <w:t xml:space="preserve"> and the institutions it has established, </w:t>
      </w:r>
      <w:r w:rsidRPr="00B064D3">
        <w:rPr>
          <w:rStyle w:val="StyleBoldUnderline"/>
          <w:b/>
          <w:highlight w:val="cyan"/>
        </w:rPr>
        <w:t xml:space="preserve">it is important to first discuss </w:t>
      </w:r>
      <w:r w:rsidRPr="005A1A21">
        <w:rPr>
          <w:rStyle w:val="StyleBoldUnderline"/>
          <w:b/>
        </w:rPr>
        <w:t xml:space="preserve">what constitutes </w:t>
      </w:r>
      <w:r w:rsidRPr="00B064D3">
        <w:rPr>
          <w:rStyle w:val="StyleBoldUnderline"/>
          <w:b/>
          <w:highlight w:val="cyan"/>
        </w:rPr>
        <w:t>a state of exception in any context</w:t>
      </w:r>
      <w:r>
        <w:rPr>
          <w:sz w:val="14"/>
        </w:rPr>
        <w:t>. Giorgio Agamben provides a definition: “</w:t>
      </w:r>
      <w:r w:rsidRPr="005A1A21">
        <w:rPr>
          <w:rStyle w:val="StyleBoldUnderline"/>
        </w:rPr>
        <w:t>The state of exception is not a special kind of law</w:t>
      </w:r>
      <w:r>
        <w:rPr>
          <w:sz w:val="14"/>
        </w:rPr>
        <w:t xml:space="preserve"> (like the law of war); </w:t>
      </w:r>
      <w:r w:rsidRPr="005A1A21">
        <w:rPr>
          <w:rStyle w:val="StyleBoldUnderline"/>
        </w:rPr>
        <w:t>rather</w:t>
      </w:r>
      <w:r>
        <w:rPr>
          <w:sz w:val="14"/>
        </w:rPr>
        <w:t xml:space="preserve">, insofar as it is </w:t>
      </w:r>
      <w:r w:rsidRPr="005A1A21">
        <w:rPr>
          <w:rStyle w:val="StyleBoldUnderline"/>
        </w:rPr>
        <w:t>a suspension of the juridical order itself, it defines law’s threshold or limit concept</w:t>
      </w:r>
      <w:r>
        <w:rPr>
          <w:sz w:val="14"/>
        </w:rPr>
        <w:t xml:space="preserve">.”5 He further asserts: “In any case, </w:t>
      </w:r>
      <w:r w:rsidRPr="00B064D3">
        <w:rPr>
          <w:rStyle w:val="StyleBoldUnderline"/>
          <w:highlight w:val="cyan"/>
        </w:rPr>
        <w:t>to understand the problem of the state of exception, one must first correctly determine its</w:t>
      </w:r>
      <w:r w:rsidRPr="00B064D3">
        <w:rPr>
          <w:sz w:val="14"/>
          <w:highlight w:val="cyan"/>
        </w:rPr>
        <w:t xml:space="preserve"> </w:t>
      </w:r>
      <w:r>
        <w:rPr>
          <w:sz w:val="14"/>
        </w:rPr>
        <w:t xml:space="preserve">localization (or illocalization) . . . the conflict over the state of exception presents itself essentially as a dispute over its proper </w:t>
      </w:r>
      <w:r w:rsidRPr="00B064D3">
        <w:rPr>
          <w:rStyle w:val="StyleBoldUnderline"/>
          <w:highlight w:val="cyan"/>
        </w:rPr>
        <w:t>locus</w:t>
      </w:r>
      <w:r>
        <w:rPr>
          <w:sz w:val="14"/>
        </w:rPr>
        <w:t xml:space="preserve">.”6 </w:t>
      </w:r>
      <w:r w:rsidRPr="00D0288E">
        <w:rPr>
          <w:rStyle w:val="StyleBoldUnderline"/>
        </w:rPr>
        <w:t xml:space="preserve">The </w:t>
      </w:r>
      <w:r w:rsidRPr="005530D9">
        <w:rPr>
          <w:rStyle w:val="StyleBoldUnderline"/>
        </w:rPr>
        <w:t xml:space="preserve">primary </w:t>
      </w:r>
      <w:r w:rsidRPr="00D0288E">
        <w:rPr>
          <w:rStyle w:val="StyleBoldUnderline"/>
        </w:rPr>
        <w:t>institution of the state of exception is</w:t>
      </w:r>
      <w:r w:rsidRPr="00D0288E">
        <w:rPr>
          <w:sz w:val="14"/>
        </w:rPr>
        <w:t xml:space="preserve"> </w:t>
      </w:r>
      <w:r>
        <w:rPr>
          <w:sz w:val="14"/>
        </w:rPr>
        <w:t xml:space="preserve">‘the camp,’ which is located </w:t>
      </w:r>
      <w:r w:rsidRPr="00D0288E">
        <w:rPr>
          <w:rStyle w:val="StyleBoldUnderline"/>
        </w:rPr>
        <w:t>in a ‘juridico-political structure</w:t>
      </w:r>
      <w:r>
        <w:rPr>
          <w:sz w:val="14"/>
        </w:rPr>
        <w:t xml:space="preserve">.’7 </w:t>
      </w:r>
      <w:r w:rsidRPr="00B064D3">
        <w:rPr>
          <w:rStyle w:val="StyleBoldUnderline"/>
          <w:highlight w:val="cyan"/>
        </w:rPr>
        <w:t xml:space="preserve">The state of exception </w:t>
      </w:r>
      <w:r w:rsidRPr="005530D9">
        <w:rPr>
          <w:rStyle w:val="StyleBoldUnderline"/>
        </w:rPr>
        <w:t xml:space="preserve">in this conflict </w:t>
      </w:r>
      <w:r w:rsidRPr="00B064D3">
        <w:rPr>
          <w:rStyle w:val="StyleBoldUnderline"/>
          <w:highlight w:val="cyan"/>
        </w:rPr>
        <w:t xml:space="preserve">is located in </w:t>
      </w:r>
      <w:r w:rsidRPr="005530D9">
        <w:rPr>
          <w:rStyle w:val="StyleBoldUnderline"/>
        </w:rPr>
        <w:t xml:space="preserve">the physical institutions of </w:t>
      </w:r>
      <w:r w:rsidRPr="00D0288E">
        <w:rPr>
          <w:rStyle w:val="StyleBoldUnderline"/>
        </w:rPr>
        <w:t xml:space="preserve">military prisons </w:t>
      </w:r>
      <w:r w:rsidRPr="005530D9">
        <w:rPr>
          <w:rStyle w:val="StyleBoldUnderline"/>
        </w:rPr>
        <w:t xml:space="preserve">outside of normal U.S. territory, </w:t>
      </w:r>
      <w:r w:rsidRPr="00D0288E">
        <w:rPr>
          <w:rStyle w:val="StyleBoldUnderline"/>
        </w:rPr>
        <w:t xml:space="preserve">and </w:t>
      </w:r>
      <w:r w:rsidRPr="00B064D3">
        <w:rPr>
          <w:rStyle w:val="StyleBoldUnderline"/>
          <w:highlight w:val="cyan"/>
        </w:rPr>
        <w:t>the broader</w:t>
      </w:r>
      <w:r w:rsidRPr="00B064D3">
        <w:rPr>
          <w:sz w:val="14"/>
          <w:highlight w:val="cyan"/>
        </w:rPr>
        <w:t xml:space="preserve"> </w:t>
      </w:r>
      <w:r>
        <w:rPr>
          <w:sz w:val="14"/>
        </w:rPr>
        <w:t xml:space="preserve">context of </w:t>
      </w:r>
      <w:r w:rsidRPr="00B064D3">
        <w:rPr>
          <w:rStyle w:val="StyleBoldUnderline"/>
          <w:highlight w:val="cyan"/>
        </w:rPr>
        <w:t>public culture, and political discourse</w:t>
      </w:r>
      <w:r>
        <w:rPr>
          <w:sz w:val="14"/>
        </w:rPr>
        <w:t xml:space="preserve">. .. It is in the focus on this structure, and, particularly, the political elements, that </w:t>
      </w:r>
      <w:r w:rsidRPr="00B064D3">
        <w:rPr>
          <w:rStyle w:val="StyleBoldUnderline"/>
          <w:b/>
          <w:highlight w:val="cyan"/>
        </w:rPr>
        <w:t>this resonates with the strand of gender theory dedicated to interrogating the justification for construction of oppressive biopolitics</w:t>
      </w:r>
      <w:r>
        <w:rPr>
          <w:rStyle w:val="StyleBoldUnderline"/>
          <w:b/>
        </w:rPr>
        <w:t>///</w:t>
      </w:r>
    </w:p>
    <w:p w:rsidR="00161ACD" w:rsidRDefault="00161ACD" w:rsidP="00161ACD">
      <w:pPr>
        <w:rPr>
          <w:rStyle w:val="StyleBoldUnderline"/>
          <w:b/>
        </w:rPr>
      </w:pPr>
    </w:p>
    <w:p w:rsidR="00161ACD" w:rsidRDefault="00161ACD" w:rsidP="00161ACD">
      <w:pPr>
        <w:rPr>
          <w:rStyle w:val="StyleBoldUnderline"/>
          <w:b/>
        </w:rPr>
      </w:pPr>
    </w:p>
    <w:p w:rsidR="00161ACD" w:rsidRDefault="00161ACD" w:rsidP="00161ACD">
      <w:pPr>
        <w:rPr>
          <w:rStyle w:val="StyleBoldUnderline"/>
          <w:b/>
        </w:rPr>
      </w:pPr>
    </w:p>
    <w:p w:rsidR="00161ACD" w:rsidRDefault="00161ACD" w:rsidP="00161ACD">
      <w:pPr>
        <w:rPr>
          <w:sz w:val="14"/>
        </w:rPr>
      </w:pPr>
      <w:proofErr w:type="gramStart"/>
      <w:r>
        <w:rPr>
          <w:sz w:val="14"/>
        </w:rPr>
        <w:t>,8</w:t>
      </w:r>
      <w:proofErr w:type="gramEnd"/>
      <w:r>
        <w:rPr>
          <w:sz w:val="14"/>
        </w:rPr>
        <w:t xml:space="preserve"> </w:t>
      </w:r>
      <w:r w:rsidRPr="005530D9">
        <w:rPr>
          <w:rStyle w:val="StyleBoldUnderline"/>
          <w:b/>
        </w:rPr>
        <w:t>particularly in transnational exercises of power</w:t>
      </w:r>
      <w:r>
        <w:rPr>
          <w:sz w:val="14"/>
        </w:rPr>
        <w:t>.</w:t>
      </w:r>
    </w:p>
    <w:p w:rsidR="00161ACD" w:rsidRPr="00D0288E" w:rsidRDefault="00161ACD" w:rsidP="00161ACD">
      <w:pPr>
        <w:rPr>
          <w:sz w:val="14"/>
        </w:rPr>
      </w:pPr>
      <w:r w:rsidRPr="007B52DC">
        <w:rPr>
          <w:rStyle w:val="StyleBoldUnderline"/>
        </w:rPr>
        <w:t>To heed</w:t>
      </w:r>
      <w:r>
        <w:rPr>
          <w:sz w:val="14"/>
        </w:rPr>
        <w:t xml:space="preserve"> Christine </w:t>
      </w:r>
      <w:r w:rsidRPr="007B52DC">
        <w:rPr>
          <w:rStyle w:val="StyleBoldUnderline"/>
        </w:rPr>
        <w:t xml:space="preserve">Sylvester’s call </w:t>
      </w:r>
      <w:r w:rsidRPr="00D0288E">
        <w:rPr>
          <w:rStyle w:val="StyleBoldUnderline"/>
        </w:rPr>
        <w:t>to “follow bare life politics into its hideouts, and into our texts and toolboxes as well, searching with undeflecting and nuancing eyes”</w:t>
      </w:r>
      <w:r w:rsidRPr="00D0288E">
        <w:rPr>
          <w:sz w:val="14"/>
        </w:rPr>
        <w:t xml:space="preserve">9 </w:t>
      </w:r>
      <w:r w:rsidRPr="00D0288E">
        <w:rPr>
          <w:rStyle w:val="StyleBoldUnderline"/>
        </w:rPr>
        <w:t xml:space="preserve">demands applying a gendered lens to the context that has allowed for the production of a state of exception. </w:t>
      </w:r>
      <w:r w:rsidRPr="00D0288E">
        <w:rPr>
          <w:rStyle w:val="StyleBoldUnderline"/>
          <w:b/>
        </w:rPr>
        <w:t>Sylvester points to a particular responsibility</w:t>
      </w:r>
      <w:r w:rsidRPr="00D0288E">
        <w:rPr>
          <w:sz w:val="14"/>
        </w:rPr>
        <w:t xml:space="preserve"> in her call </w:t>
      </w:r>
      <w:r w:rsidRPr="00D0288E">
        <w:rPr>
          <w:rStyle w:val="StyleBoldUnderline"/>
          <w:b/>
        </w:rPr>
        <w:t>to search out the ‘bare life politics’ that may be hiding out in gender theory</w:t>
      </w:r>
      <w:r w:rsidRPr="007B52DC">
        <w:rPr>
          <w:rStyle w:val="StyleBoldUnderline"/>
        </w:rPr>
        <w:t>.</w:t>
      </w:r>
      <w:r>
        <w:rPr>
          <w:sz w:val="14"/>
        </w:rPr>
        <w:t xml:space="preserve"> This requires locating the dynamics that, extending beyond government offices, allow states of exception to take hold in societies where sovereign power is normally assumed to be constrained by the law requires more than a dispassionate examination from without.10 </w:t>
      </w:r>
      <w:r w:rsidRPr="00B84C51">
        <w:rPr>
          <w:rStyle w:val="StyleBoldUnderline"/>
        </w:rPr>
        <w:t>Sylvester echoes a call that resonates with those of postcolonial feminist theorists</w:t>
      </w:r>
      <w:r>
        <w:rPr>
          <w:sz w:val="14"/>
        </w:rPr>
        <w:t xml:space="preserve"> like Gayatri Spivak and Chandra Mohanty, </w:t>
      </w:r>
      <w:r w:rsidRPr="00B84C51">
        <w:rPr>
          <w:rStyle w:val="StyleBoldUnderline"/>
        </w:rPr>
        <w:t xml:space="preserve">who contend that </w:t>
      </w:r>
      <w:r w:rsidRPr="00B064D3">
        <w:rPr>
          <w:rStyle w:val="StyleBoldUnderline"/>
          <w:highlight w:val="cyan"/>
        </w:rPr>
        <w:t>feminist academics have no choice but to examine their own position</w:t>
      </w:r>
      <w:r w:rsidRPr="00B84C51">
        <w:rPr>
          <w:rStyle w:val="StyleBoldUnderline"/>
        </w:rPr>
        <w:t>, and the consequences of their own attempts at representing themselves and others</w:t>
      </w:r>
      <w:r>
        <w:rPr>
          <w:sz w:val="14"/>
        </w:rPr>
        <w:t xml:space="preserve">.11 </w:t>
      </w:r>
      <w:r w:rsidRPr="00B064D3">
        <w:rPr>
          <w:rStyle w:val="StyleBoldUnderline"/>
          <w:highlight w:val="cyan"/>
        </w:rPr>
        <w:t xml:space="preserve">To take </w:t>
      </w:r>
      <w:r w:rsidRPr="00B84C51">
        <w:rPr>
          <w:rStyle w:val="StyleBoldUnderline"/>
        </w:rPr>
        <w:t xml:space="preserve">the history of </w:t>
      </w:r>
      <w:r w:rsidRPr="00B064D3">
        <w:rPr>
          <w:rStyle w:val="StyleBoldUnderline"/>
          <w:highlight w:val="cyan"/>
        </w:rPr>
        <w:t>epistemic violence seriously means to pay attention to</w:t>
      </w:r>
      <w:r w:rsidRPr="00D0288E">
        <w:rPr>
          <w:rStyle w:val="StyleBoldUnderline"/>
        </w:rPr>
        <w:t xml:space="preserve"> “remotely orchestrated, far-flung, and </w:t>
      </w:r>
      <w:r w:rsidRPr="00B064D3">
        <w:rPr>
          <w:rStyle w:val="StyleBoldUnderline"/>
          <w:highlight w:val="cyan"/>
        </w:rPr>
        <w:t>heterogeneous project to constitute the colonial subject as Other</w:t>
      </w:r>
      <w:r w:rsidRPr="00B84C51">
        <w:rPr>
          <w:rStyle w:val="StyleBoldUnderline"/>
        </w:rPr>
        <w:t>,”</w:t>
      </w:r>
      <w:r>
        <w:rPr>
          <w:sz w:val="14"/>
        </w:rPr>
        <w:t xml:space="preserve">12 </w:t>
      </w:r>
      <w:r w:rsidRPr="00D0288E">
        <w:rPr>
          <w:rStyle w:val="StyleBoldUnderline"/>
        </w:rPr>
        <w:t>and to expose such projects wherever they arise</w:t>
      </w:r>
      <w:r w:rsidRPr="00D0288E">
        <w:rPr>
          <w:sz w:val="14"/>
        </w:rPr>
        <w:t xml:space="preserve">. </w:t>
      </w:r>
    </w:p>
    <w:p w:rsidR="00161ACD" w:rsidRPr="00D0288E" w:rsidRDefault="00161ACD" w:rsidP="00161ACD">
      <w:pPr>
        <w:rPr>
          <w:rStyle w:val="StyleBoldUnderline"/>
          <w:highlight w:val="cyan"/>
        </w:rPr>
      </w:pPr>
      <w:r w:rsidRPr="00B84C51">
        <w:rPr>
          <w:rStyle w:val="StyleBoldUnderline"/>
          <w:b/>
        </w:rPr>
        <w:t>While searching out</w:t>
      </w:r>
      <w:r>
        <w:rPr>
          <w:sz w:val="14"/>
        </w:rPr>
        <w:t xml:space="preserve"> the hideouts of </w:t>
      </w:r>
      <w:r w:rsidRPr="00B84C51">
        <w:rPr>
          <w:rStyle w:val="StyleBoldUnderline"/>
          <w:b/>
        </w:rPr>
        <w:t>bare life politics</w:t>
      </w:r>
      <w:r>
        <w:rPr>
          <w:sz w:val="14"/>
        </w:rPr>
        <w:t xml:space="preserve">, however, </w:t>
      </w:r>
      <w:r w:rsidRPr="00D0288E">
        <w:rPr>
          <w:rStyle w:val="StyleBoldUnderline"/>
          <w:b/>
        </w:rPr>
        <w:t>it is</w:t>
      </w:r>
      <w:r w:rsidRPr="00D0288E">
        <w:rPr>
          <w:sz w:val="14"/>
        </w:rPr>
        <w:t xml:space="preserve"> </w:t>
      </w:r>
      <w:r>
        <w:rPr>
          <w:sz w:val="14"/>
        </w:rPr>
        <w:t xml:space="preserve">also </w:t>
      </w:r>
      <w:r w:rsidRPr="00D0288E">
        <w:rPr>
          <w:rStyle w:val="StyleBoldUnderline"/>
          <w:b/>
        </w:rPr>
        <w:t>important to map the state of exception</w:t>
      </w:r>
      <w:r w:rsidRPr="00F24111">
        <w:rPr>
          <w:sz w:val="14"/>
          <w:szCs w:val="14"/>
        </w:rPr>
        <w:t xml:space="preserve">’s </w:t>
      </w:r>
      <w:r>
        <w:rPr>
          <w:sz w:val="14"/>
        </w:rPr>
        <w:t xml:space="preserve">most obvious supporting elements. Here, </w:t>
      </w:r>
      <w:r w:rsidRPr="0084494A">
        <w:rPr>
          <w:rStyle w:val="StyleBoldUnderline"/>
        </w:rPr>
        <w:t xml:space="preserve">this involves </w:t>
      </w:r>
      <w:proofErr w:type="gramStart"/>
      <w:r w:rsidRPr="0084494A">
        <w:rPr>
          <w:rStyle w:val="StyleBoldUnderline"/>
        </w:rPr>
        <w:t>theoretical engagements that maps</w:t>
      </w:r>
      <w:proofErr w:type="gramEnd"/>
      <w:r w:rsidRPr="0084494A">
        <w:rPr>
          <w:rStyle w:val="StyleBoldUnderline"/>
        </w:rPr>
        <w:t xml:space="preserve"> the more overt arguments supporting a state of exception in U.S. military prisons and the conduct of the ‘war on terrorism’ in general</w:t>
      </w:r>
      <w:r>
        <w:rPr>
          <w:sz w:val="14"/>
        </w:rPr>
        <w:t xml:space="preserve">. For this, </w:t>
      </w:r>
      <w:r w:rsidRPr="00B230EB">
        <w:rPr>
          <w:rStyle w:val="StyleBoldUnderline"/>
        </w:rPr>
        <w:t>I will turn to the discussion of terrorism and security that</w:t>
      </w:r>
      <w:r>
        <w:rPr>
          <w:sz w:val="14"/>
        </w:rPr>
        <w:t xml:space="preserve"> Judith </w:t>
      </w:r>
      <w:r w:rsidRPr="00B230EB">
        <w:rPr>
          <w:rStyle w:val="StyleBoldUnderline"/>
        </w:rPr>
        <w:t>Butler discussed in Precarious Life</w:t>
      </w:r>
      <w:r>
        <w:rPr>
          <w:sz w:val="14"/>
        </w:rPr>
        <w:t xml:space="preserve">, published in 2004. In Butler’s assessment, </w:t>
      </w:r>
      <w:r w:rsidRPr="00D0288E">
        <w:rPr>
          <w:rStyle w:val="StyleBoldUnderline"/>
        </w:rPr>
        <w:t>the United States responded to the unprecedented experience of the terrorist attacks on September 11, 2001 with “heightened nationalist discourse</w:t>
      </w:r>
      <w:r w:rsidRPr="00D0288E">
        <w:rPr>
          <w:sz w:val="14"/>
        </w:rPr>
        <w:t xml:space="preserve">, extended surveillance mechanisms, </w:t>
      </w:r>
      <w:r w:rsidRPr="00D0288E">
        <w:rPr>
          <w:rStyle w:val="StyleBoldUnderline"/>
        </w:rPr>
        <w:t>suspended constitutional rights, and developed forms of explicit and implicit censorship</w:t>
      </w:r>
      <w:r>
        <w:rPr>
          <w:sz w:val="14"/>
        </w:rPr>
        <w:t xml:space="preserve">.13” </w:t>
      </w:r>
      <w:r w:rsidRPr="00D0288E">
        <w:rPr>
          <w:rStyle w:val="StyleBoldUnderline"/>
        </w:rPr>
        <w:t>Butler</w:t>
      </w:r>
      <w:r w:rsidRPr="00D0288E">
        <w:rPr>
          <w:sz w:val="14"/>
        </w:rPr>
        <w:t xml:space="preserve"> argues against any claim that these developments were natural or inevitable. She </w:t>
      </w:r>
      <w:r w:rsidRPr="00D0288E">
        <w:rPr>
          <w:rStyle w:val="StyleBoldUnderline"/>
        </w:rPr>
        <w:t>focuses on an effort that extends beyond the ‘military order’ allowing for ‘indefinite detention’ and trial by non-juridical ‘military commissions’ that Agamben cites as the genesis of a persistent state of exception</w:t>
      </w:r>
      <w:r w:rsidRPr="00D0288E">
        <w:rPr>
          <w:sz w:val="14"/>
          <w:szCs w:val="14"/>
        </w:rPr>
        <w:t>14</w:t>
      </w:r>
      <w:r w:rsidRPr="00D0288E">
        <w:rPr>
          <w:sz w:val="14"/>
        </w:rPr>
        <w:t xml:space="preserve">. </w:t>
      </w:r>
      <w:r w:rsidRPr="00D0288E">
        <w:rPr>
          <w:rStyle w:val="StyleBoldUnderline"/>
        </w:rPr>
        <w:t>Butler</w:t>
      </w:r>
      <w:r w:rsidRPr="00D0288E">
        <w:rPr>
          <w:sz w:val="14"/>
        </w:rPr>
        <w:t xml:space="preserve">, too, </w:t>
      </w:r>
      <w:r w:rsidRPr="00D0288E">
        <w:rPr>
          <w:rStyle w:val="StyleBoldUnderline"/>
        </w:rPr>
        <w:t>understands the consequences of this suspension of normal law, and focuses her analysis on the elements that contributed to its appearance as utterly necessary, if not natural.</w:t>
      </w:r>
    </w:p>
    <w:p w:rsidR="00161ACD" w:rsidRPr="00276B60" w:rsidRDefault="00161ACD" w:rsidP="00161ACD">
      <w:pPr>
        <w:rPr>
          <w:rStyle w:val="StyleBoldUnderline"/>
        </w:rPr>
      </w:pPr>
      <w:r w:rsidRPr="00D0288E">
        <w:rPr>
          <w:rStyle w:val="StyleBoldUnderline"/>
        </w:rPr>
        <w:t>By highlighting the silencing of serious explorations of why the attacks occurred within the United States</w:t>
      </w:r>
      <w:r w:rsidRPr="00D0288E">
        <w:rPr>
          <w:sz w:val="14"/>
        </w:rPr>
        <w:t xml:space="preserve">, followed by a starkly differing treatment of American lives and Afghan ones lost in the wake of the United States’ military response, </w:t>
      </w:r>
      <w:r w:rsidRPr="00D0288E">
        <w:rPr>
          <w:rStyle w:val="StyleBoldUnderline"/>
        </w:rPr>
        <w:t>Butler illuminates a broader ‘state of exception’ permeating American public life in the early 2000’s</w:t>
      </w:r>
      <w:r w:rsidRPr="0001296B">
        <w:rPr>
          <w:rStyle w:val="StyleBoldUnderline"/>
        </w:rPr>
        <w:t>. Butler asserts this issue of grievability as fundamental to the state of exception: “the differential allocation of grievability that decides what kind of subject is and must be grieved, and which kind of subject must not, operates to produce and maintain certain exclusionary conceptions of who is normatively human.”</w:t>
      </w:r>
      <w:r>
        <w:rPr>
          <w:sz w:val="14"/>
        </w:rPr>
        <w:t xml:space="preserve">15 Here, </w:t>
      </w:r>
      <w:r w:rsidRPr="00D0288E">
        <w:rPr>
          <w:rStyle w:val="StyleBoldUnderline"/>
        </w:rPr>
        <w:t>the exception is located in literal space at Guantanamo Bay, where “the dehumanization effected by ‘indefinite detention’ makes use of an ethnic frame for conceiving who will be human, and who will not.”</w:t>
      </w:r>
      <w:r>
        <w:rPr>
          <w:sz w:val="14"/>
        </w:rPr>
        <w:t>16 Observing the fallout, both in the erasure of combat-related deaths and the treatment of ‘detainees,’17 Butler touches on an underlying contemporary political current and a crucial link to historical exercises of domination linked to the history of conquest and colonization. She points out that “</w:t>
      </w:r>
      <w:r w:rsidRPr="00D0288E">
        <w:rPr>
          <w:rStyle w:val="StyleBoldUnderline"/>
        </w:rPr>
        <w:t>the dehumanization that Orientalism already performs is heightened to an extreme, so that the uniqueness and exceptionalism of this kind of war makes it exempt from the presumptions and protections of universality and civilization</w:t>
      </w:r>
      <w:r w:rsidRPr="00D0288E">
        <w:rPr>
          <w:sz w:val="14"/>
        </w:rPr>
        <w:t xml:space="preserve">.”18 </w:t>
      </w:r>
      <w:r w:rsidRPr="00D0288E">
        <w:rPr>
          <w:rStyle w:val="StyleBoldUnderline"/>
        </w:rPr>
        <w:t>Butler</w:t>
      </w:r>
      <w:r w:rsidRPr="00D0288E">
        <w:rPr>
          <w:sz w:val="14"/>
        </w:rPr>
        <w:t xml:space="preserve"> both </w:t>
      </w:r>
      <w:r w:rsidRPr="00D0288E">
        <w:rPr>
          <w:rStyle w:val="StyleBoldUnderline"/>
        </w:rPr>
        <w:t>demands attention to historical context and highlights a historical context which</w:t>
      </w:r>
      <w:r w:rsidRPr="00D0288E">
        <w:rPr>
          <w:sz w:val="14"/>
        </w:rPr>
        <w:t xml:space="preserve">, ironically, </w:t>
      </w:r>
      <w:r w:rsidRPr="00D0288E">
        <w:rPr>
          <w:rStyle w:val="StyleBoldUnderline"/>
        </w:rPr>
        <w:t>involves a long history of claims to ‘unique,’ unprecedented need to suspend normal law based on a suspension of the recognition of the ‘Other’s’ common humanity</w:t>
      </w:r>
      <w:r w:rsidRPr="00276B60">
        <w:rPr>
          <w:rStyle w:val="StyleBoldUnderline"/>
        </w:rPr>
        <w:t>.</w:t>
      </w:r>
    </w:p>
    <w:p w:rsidR="00161ACD" w:rsidRPr="00C555B4" w:rsidRDefault="00161ACD" w:rsidP="00161ACD">
      <w:pPr>
        <w:rPr>
          <w:rStyle w:val="StyleBoldUnderline"/>
        </w:rPr>
      </w:pPr>
      <w:r>
        <w:rPr>
          <w:sz w:val="14"/>
        </w:rPr>
        <w:t xml:space="preserve">The paradox of the exception claimed here sits with the fact that </w:t>
      </w:r>
      <w:r w:rsidRPr="00B064D3">
        <w:rPr>
          <w:rStyle w:val="StyleBoldUnderline"/>
          <w:b/>
          <w:highlight w:val="cyan"/>
        </w:rPr>
        <w:t>the U</w:t>
      </w:r>
      <w:r w:rsidRPr="00D0288E">
        <w:rPr>
          <w:rStyle w:val="StyleBoldUnderline"/>
          <w:b/>
        </w:rPr>
        <w:t xml:space="preserve">nited </w:t>
      </w:r>
      <w:r w:rsidRPr="00B064D3">
        <w:rPr>
          <w:rStyle w:val="StyleBoldUnderline"/>
          <w:b/>
          <w:highlight w:val="cyan"/>
        </w:rPr>
        <w:t>S</w:t>
      </w:r>
      <w:r w:rsidRPr="00D0288E">
        <w:rPr>
          <w:rStyle w:val="StyleBoldUnderline"/>
          <w:b/>
        </w:rPr>
        <w:t xml:space="preserve">tates </w:t>
      </w:r>
      <w:r w:rsidRPr="00B064D3">
        <w:rPr>
          <w:rStyle w:val="StyleBoldUnderline"/>
          <w:b/>
          <w:highlight w:val="cyan"/>
        </w:rPr>
        <w:t xml:space="preserve">claimed that part of its mission was in defending </w:t>
      </w:r>
      <w:r w:rsidRPr="005E60A0">
        <w:rPr>
          <w:rStyle w:val="StyleBoldUnderline"/>
          <w:b/>
        </w:rPr>
        <w:t xml:space="preserve">the rights of </w:t>
      </w:r>
      <w:r w:rsidRPr="00B064D3">
        <w:rPr>
          <w:rStyle w:val="StyleBoldUnderline"/>
          <w:b/>
          <w:highlight w:val="cyan"/>
        </w:rPr>
        <w:t xml:space="preserve">women, which it inevitably couched in </w:t>
      </w:r>
      <w:r w:rsidRPr="005E60A0">
        <w:rPr>
          <w:rStyle w:val="StyleBoldUnderline"/>
          <w:b/>
        </w:rPr>
        <w:t xml:space="preserve">universalizing, </w:t>
      </w:r>
      <w:r w:rsidRPr="00B064D3">
        <w:rPr>
          <w:rStyle w:val="StyleBoldUnderline"/>
          <w:b/>
          <w:highlight w:val="cyan"/>
        </w:rPr>
        <w:t>civilizational terms</w:t>
      </w:r>
      <w:r w:rsidRPr="005E60A0">
        <w:rPr>
          <w:rStyle w:val="StyleBoldUnderline"/>
          <w:b/>
        </w:rPr>
        <w:t>.</w:t>
      </w:r>
      <w:r w:rsidRPr="005E60A0">
        <w:rPr>
          <w:rStyle w:val="StyleBoldUnderline"/>
        </w:rPr>
        <w:t xml:space="preserve"> This particular paradox lends itself to a dimension of what a state of exception requires, </w:t>
      </w:r>
      <w:r w:rsidRPr="00D0288E">
        <w:rPr>
          <w:rStyle w:val="StyleBoldUnderline"/>
          <w:highlight w:val="cyan"/>
        </w:rPr>
        <w:t>“</w:t>
      </w:r>
      <w:r w:rsidRPr="00B064D3">
        <w:rPr>
          <w:rStyle w:val="StyleBoldUnderline"/>
          <w:highlight w:val="cyan"/>
        </w:rPr>
        <w:t xml:space="preserve">this space </w:t>
      </w:r>
      <w:r w:rsidRPr="005E60A0">
        <w:rPr>
          <w:rStyle w:val="StyleBoldUnderline"/>
        </w:rPr>
        <w:t xml:space="preserve">devoid of law seems, for some reason, to be so essential to the juridical order that </w:t>
      </w:r>
      <w:r w:rsidRPr="006B1E91">
        <w:rPr>
          <w:rStyle w:val="StyleBoldUnderline"/>
          <w:b/>
        </w:rPr>
        <w:t xml:space="preserve">it </w:t>
      </w:r>
      <w:r w:rsidRPr="00B064D3">
        <w:rPr>
          <w:rStyle w:val="StyleBoldUnderline"/>
          <w:b/>
          <w:highlight w:val="cyan"/>
        </w:rPr>
        <w:t>must seek in every way to assure itself a relation with it,”</w:t>
      </w:r>
      <w:r>
        <w:rPr>
          <w:sz w:val="14"/>
        </w:rPr>
        <w:t xml:space="preserve">19 </w:t>
      </w:r>
      <w:r w:rsidRPr="00B064D3">
        <w:rPr>
          <w:rStyle w:val="StyleBoldUnderline"/>
          <w:b/>
          <w:highlight w:val="cyan"/>
        </w:rPr>
        <w:t>including this international juridical order of gender equality</w:t>
      </w:r>
      <w:r>
        <w:rPr>
          <w:sz w:val="14"/>
        </w:rPr>
        <w:t xml:space="preserve">. </w:t>
      </w:r>
      <w:proofErr w:type="gramStart"/>
      <w:r>
        <w:rPr>
          <w:sz w:val="14"/>
        </w:rPr>
        <w:t>In her 2002 essay, ‘Do Muslim Women Really Need Saving?’</w:t>
      </w:r>
      <w:proofErr w:type="gramEnd"/>
      <w:r>
        <w:rPr>
          <w:sz w:val="14"/>
        </w:rPr>
        <w:t xml:space="preserve"> Lila </w:t>
      </w:r>
      <w:r w:rsidRPr="00B064D3">
        <w:rPr>
          <w:rStyle w:val="StyleBoldUnderline"/>
          <w:highlight w:val="cyan"/>
        </w:rPr>
        <w:t>AbuLughod</w:t>
      </w:r>
      <w:r w:rsidRPr="00B064D3">
        <w:rPr>
          <w:sz w:val="14"/>
          <w:highlight w:val="cyan"/>
        </w:rPr>
        <w:t xml:space="preserve"> </w:t>
      </w:r>
      <w:r>
        <w:rPr>
          <w:sz w:val="14"/>
        </w:rPr>
        <w:t xml:space="preserve">addresses the deployment of images of women in the discursive war effort. She </w:t>
      </w:r>
      <w:r w:rsidRPr="00B064D3">
        <w:rPr>
          <w:rStyle w:val="StyleBoldUnderline"/>
          <w:highlight w:val="cyan"/>
        </w:rPr>
        <w:t xml:space="preserve">focuses on the ethical questions raised by the “’war on terrorism,’ a war </w:t>
      </w:r>
      <w:r w:rsidRPr="00B064D3">
        <w:rPr>
          <w:rStyle w:val="StyleBoldUnderline"/>
          <w:highlight w:val="cyan"/>
        </w:rPr>
        <w:lastRenderedPageBreak/>
        <w:t xml:space="preserve">which justifies itself by purporting to </w:t>
      </w:r>
      <w:r w:rsidRPr="006B1E91">
        <w:rPr>
          <w:rStyle w:val="StyleBoldUnderline"/>
        </w:rPr>
        <w:t xml:space="preserve">liberate, or </w:t>
      </w:r>
      <w:r w:rsidRPr="00B064D3">
        <w:rPr>
          <w:rStyle w:val="StyleBoldUnderline"/>
          <w:highlight w:val="cyan"/>
        </w:rPr>
        <w:t>save, Afghan women</w:t>
      </w:r>
      <w:r>
        <w:rPr>
          <w:sz w:val="14"/>
        </w:rPr>
        <w:t xml:space="preserve">.”20 </w:t>
      </w:r>
      <w:r w:rsidRPr="00D0288E">
        <w:rPr>
          <w:rStyle w:val="StyleBoldUnderline"/>
        </w:rPr>
        <w:t>The questions she poses</w:t>
      </w:r>
      <w:r w:rsidRPr="00D0288E">
        <w:rPr>
          <w:sz w:val="14"/>
        </w:rPr>
        <w:t xml:space="preserve"> and discomfort she expresses </w:t>
      </w:r>
      <w:r w:rsidRPr="00D0288E">
        <w:rPr>
          <w:rStyle w:val="StyleBoldUnderline"/>
        </w:rPr>
        <w:t xml:space="preserve">occupy the point where gender theory’s position in relation to the state of exception is most relevant. That is, </w:t>
      </w:r>
      <w:r w:rsidRPr="00D0288E">
        <w:rPr>
          <w:rStyle w:val="StyleBoldUnderline"/>
          <w:highlight w:val="cyan"/>
        </w:rPr>
        <w:t xml:space="preserve">the point </w:t>
      </w:r>
      <w:r w:rsidRPr="00B064D3">
        <w:rPr>
          <w:rStyle w:val="StyleBoldUnderline"/>
          <w:highlight w:val="cyan"/>
        </w:rPr>
        <w:t>where a gendered discourse is used to justify the construction of a state of exception</w:t>
      </w:r>
      <w:r>
        <w:rPr>
          <w:sz w:val="14"/>
        </w:rPr>
        <w:t xml:space="preserve">. Abu-Lughod’s concerns are hardly new, even if the events inspiring them are. Indeed, Gayatri </w:t>
      </w:r>
      <w:r w:rsidRPr="00D0288E">
        <w:rPr>
          <w:rStyle w:val="StyleBoldUnderline"/>
        </w:rPr>
        <w:t>Spivak highlighted the same issue when she declared</w:t>
      </w:r>
      <w:r>
        <w:rPr>
          <w:sz w:val="14"/>
        </w:rPr>
        <w:t xml:space="preserve">, many years earlier (and referring to earlier events), “what interests me is that </w:t>
      </w:r>
      <w:r w:rsidRPr="00D0288E">
        <w:rPr>
          <w:rStyle w:val="StyleBoldUnderline"/>
        </w:rPr>
        <w:t>the protection of women</w:t>
      </w:r>
      <w:r w:rsidRPr="00D0288E">
        <w:rPr>
          <w:sz w:val="14"/>
        </w:rPr>
        <w:t xml:space="preserve"> </w:t>
      </w:r>
      <w:r>
        <w:rPr>
          <w:sz w:val="14"/>
        </w:rPr>
        <w:t xml:space="preserve">(today the ‘Third World Woman’) </w:t>
      </w:r>
      <w:r w:rsidRPr="00D0288E">
        <w:rPr>
          <w:rStyle w:val="StyleBoldUnderline"/>
        </w:rPr>
        <w:t>becomes a signifier for the establishment of a good society which must</w:t>
      </w:r>
      <w:r w:rsidRPr="00435AFD">
        <w:rPr>
          <w:rStyle w:val="StyleBoldUnderline"/>
        </w:rPr>
        <w:t xml:space="preserve">, at some inaugurative moments, </w:t>
      </w:r>
      <w:r w:rsidRPr="00D0288E">
        <w:rPr>
          <w:rStyle w:val="StyleBoldUnderline"/>
        </w:rPr>
        <w:t xml:space="preserve">transgress </w:t>
      </w:r>
      <w:r w:rsidRPr="00435AFD">
        <w:rPr>
          <w:rStyle w:val="StyleBoldUnderline"/>
        </w:rPr>
        <w:t xml:space="preserve">mere </w:t>
      </w:r>
      <w:r w:rsidRPr="00D0288E">
        <w:rPr>
          <w:rStyle w:val="StyleBoldUnderline"/>
        </w:rPr>
        <w:t>legality</w:t>
      </w:r>
      <w:r w:rsidRPr="00435AFD">
        <w:rPr>
          <w:rStyle w:val="StyleBoldUnderline"/>
        </w:rPr>
        <w:t>, or equity of legal policy.”</w:t>
      </w:r>
      <w:r>
        <w:rPr>
          <w:sz w:val="14"/>
        </w:rPr>
        <w:t xml:space="preserve">21 </w:t>
      </w:r>
      <w:r w:rsidRPr="00C555B4">
        <w:rPr>
          <w:rStyle w:val="StyleBoldUnderline"/>
          <w:b/>
        </w:rPr>
        <w:t xml:space="preserve">That is, </w:t>
      </w:r>
      <w:r w:rsidRPr="00B064D3">
        <w:rPr>
          <w:rStyle w:val="StyleBoldUnderline"/>
          <w:b/>
          <w:highlight w:val="cyan"/>
        </w:rPr>
        <w:t xml:space="preserve">where women’s status </w:t>
      </w:r>
      <w:r w:rsidRPr="00C555B4">
        <w:rPr>
          <w:rStyle w:val="StyleBoldUnderline"/>
          <w:b/>
        </w:rPr>
        <w:t xml:space="preserve">in one society </w:t>
      </w:r>
      <w:r w:rsidRPr="00B064D3">
        <w:rPr>
          <w:rStyle w:val="StyleBoldUnderline"/>
          <w:b/>
          <w:highlight w:val="cyan"/>
        </w:rPr>
        <w:t xml:space="preserve">is </w:t>
      </w:r>
      <w:r w:rsidRPr="00C555B4">
        <w:rPr>
          <w:rStyle w:val="StyleBoldUnderline"/>
          <w:b/>
        </w:rPr>
        <w:t xml:space="preserve">treated as evidence of that society’s backwardness, and </w:t>
      </w:r>
      <w:r w:rsidRPr="00B064D3">
        <w:rPr>
          <w:rStyle w:val="StyleBoldUnderline"/>
          <w:b/>
          <w:highlight w:val="cyan"/>
        </w:rPr>
        <w:t>justification for any intervention on the part of a self-professed guardian of gender equality becomes an urgent case of “white men saving brown women from brown men</w:t>
      </w:r>
      <w:r>
        <w:rPr>
          <w:sz w:val="14"/>
        </w:rPr>
        <w:t xml:space="preserve">.”22 Like Butler, </w:t>
      </w:r>
      <w:r w:rsidRPr="00C555B4">
        <w:rPr>
          <w:rStyle w:val="StyleBoldUnderline"/>
        </w:rPr>
        <w:t xml:space="preserve">Abu-Lughod’s </w:t>
      </w:r>
      <w:r w:rsidRPr="00D0288E">
        <w:rPr>
          <w:rStyle w:val="StyleBoldUnderline"/>
        </w:rPr>
        <w:t>ethical queries carry an awareness of historical context, and, particularly, the cultural and social dimensions of the justifications for establishing exceptional legal – or extralegal – procedures and physical spaces.</w:t>
      </w:r>
      <w:r w:rsidRPr="00C555B4">
        <w:rPr>
          <w:rStyle w:val="StyleBoldUnderline"/>
        </w:rPr>
        <w:t xml:space="preserve"> </w:t>
      </w:r>
    </w:p>
    <w:p w:rsidR="00161ACD" w:rsidRDefault="00161ACD" w:rsidP="00161ACD">
      <w:pPr>
        <w:rPr>
          <w:sz w:val="14"/>
        </w:rPr>
      </w:pPr>
      <w:r>
        <w:rPr>
          <w:sz w:val="14"/>
        </w:rPr>
        <w:t xml:space="preserve">Abu-Lughod’s discomfort with the public discourse on gender and, crucially, ‘culture,’ raises important questions for both academics and activists, which lend urgency and specificity to questions that have concerned Spivak and other gender theorists for decades. Considering the degree to which gender theorists have, as a community, struggled to deal with ‘culture,’ her criticism of the popular discourse around the invasion of Afghanistan retains a particular salience: </w:t>
      </w:r>
    </w:p>
    <w:p w:rsidR="00161ACD" w:rsidRDefault="00161ACD" w:rsidP="00161ACD">
      <w:pPr>
        <w:rPr>
          <w:sz w:val="14"/>
        </w:rPr>
      </w:pPr>
      <w:r w:rsidRPr="00D0288E">
        <w:rPr>
          <w:rStyle w:val="StyleBoldUnderline"/>
          <w:b/>
        </w:rPr>
        <w:t xml:space="preserve">The question is why knowing about the ‘culture’ of the region, and particularly its religious beliefs and treatment of women, was more urgent than exploring the history of the development of repressive regimes in the region and the U.S.’s role in this history. </w:t>
      </w:r>
      <w:r w:rsidRPr="00D0288E">
        <w:rPr>
          <w:rStyle w:val="StyleBoldUnderline"/>
          <w:b/>
          <w:highlight w:val="cyan"/>
        </w:rPr>
        <w:t xml:space="preserve">Such </w:t>
      </w:r>
      <w:r w:rsidRPr="00B064D3">
        <w:rPr>
          <w:rStyle w:val="StyleBoldUnderline"/>
          <w:b/>
          <w:highlight w:val="cyan"/>
        </w:rPr>
        <w:t>cultural framing</w:t>
      </w:r>
      <w:r>
        <w:rPr>
          <w:sz w:val="14"/>
        </w:rPr>
        <w:t xml:space="preserve">, it seemed to me, </w:t>
      </w:r>
      <w:r w:rsidRPr="00B064D3">
        <w:rPr>
          <w:rStyle w:val="StyleBoldUnderline"/>
          <w:b/>
          <w:highlight w:val="cyan"/>
        </w:rPr>
        <w:t>prevented the serious exploration of the roots and nature of human suffering in this part of the world</w:t>
      </w:r>
      <w:r>
        <w:rPr>
          <w:sz w:val="14"/>
        </w:rPr>
        <w:t xml:space="preserve">. Instead of political and historical explanations, experts were being asked to give religio-cultural ones. </w:t>
      </w:r>
      <w:r w:rsidRPr="00D0288E">
        <w:rPr>
          <w:rStyle w:val="StyleBoldUnderline"/>
          <w:b/>
        </w:rPr>
        <w:t>Instead of questions that might lead to the exploration of global interconnections, we were offered ones that work to artificially divide the world into separate spheres—recreating an imaginative geography of West versus East, us versus Muslims</w:t>
      </w:r>
      <w:r w:rsidRPr="005838A5">
        <w:rPr>
          <w:rStyle w:val="StyleBoldUnderline"/>
          <w:b/>
        </w:rPr>
        <w:t>, cultures in which First Ladies give speeches versus others where women shuffle around silently in burqas.</w:t>
      </w:r>
      <w:r>
        <w:rPr>
          <w:sz w:val="14"/>
        </w:rPr>
        <w:t xml:space="preserve"> 23</w:t>
      </w:r>
    </w:p>
    <w:p w:rsidR="00161ACD" w:rsidRDefault="00161ACD" w:rsidP="00161ACD">
      <w:pPr>
        <w:rPr>
          <w:sz w:val="14"/>
        </w:rPr>
      </w:pPr>
      <w:r>
        <w:rPr>
          <w:sz w:val="14"/>
        </w:rPr>
        <w:t xml:space="preserve">The ‘imaginary geography’ that Abu-Lughod describes here is familiar to gender theorists working on transnational issues, which relate to how power is justified and exercised through actual and imagined space. Achille Mbembe further explores the circular logic of imaginary and physical geography that traps individual bodies in its exception in his discussion of the circumstances of colonial occupation. Mbembe asserts: </w:t>
      </w:r>
    </w:p>
    <w:p w:rsidR="00161ACD" w:rsidRDefault="00161ACD" w:rsidP="00161ACD">
      <w:pPr>
        <w:rPr>
          <w:sz w:val="14"/>
        </w:rPr>
      </w:pPr>
      <w:r>
        <w:rPr>
          <w:sz w:val="14"/>
        </w:rPr>
        <w:t>Colonial occupation itself was a matter of seizing, delimiting and asserting control over a physical geographical area—of writing on the grounds a new set of social and spatial relations. The writing of new spatial relations (territorialization) was, ultimately, tantamount of the production of boundaries and hierarchies; zones and enclaves . . . and, finally, the manufacturing of a large reservoir of cultural imaginaries.24</w:t>
      </w:r>
    </w:p>
    <w:p w:rsidR="00161ACD" w:rsidRDefault="00161ACD" w:rsidP="00161ACD">
      <w:pPr>
        <w:rPr>
          <w:sz w:val="14"/>
        </w:rPr>
      </w:pPr>
      <w:r>
        <w:rPr>
          <w:sz w:val="14"/>
        </w:rPr>
        <w:t>Abu-Lughod maps the imaginary geography deployed in discourses about Afghan women in a way that reveals their historical precedence in the uses of ‘colonial feminism,’25 by the English and French in the Middle East in the late 19th and early 20th centuries. The contrast that she highlights between that administration’s use of images of women’s rights in the territories it sought to dominate and the low status it granted to women at home26 points to a precedent for challenging the American government’s moral authority in this case. This rings particularly true in hindsight, and knowledge of the United States military’s abuses at Abu Ghraib, which Judith Butler called “the actions of a misogynist institution against a population in which women are cast in roles bound by codes of honor and shame, and so not ‘equal’ in the way that women ostensibly are in the West.”27</w:t>
      </w:r>
    </w:p>
    <w:p w:rsidR="00161ACD" w:rsidRDefault="00161ACD" w:rsidP="00161ACD">
      <w:pPr>
        <w:rPr>
          <w:sz w:val="14"/>
        </w:rPr>
      </w:pPr>
      <w:r>
        <w:rPr>
          <w:sz w:val="14"/>
        </w:rPr>
        <w:t xml:space="preserve">Abu-Lughod’s final criticism already touches on some of the instrumentalization already at work in 2002: </w:t>
      </w:r>
    </w:p>
    <w:p w:rsidR="00161ACD" w:rsidRPr="007F2BBC" w:rsidRDefault="00161ACD" w:rsidP="00161ACD">
      <w:pPr>
        <w:rPr>
          <w:sz w:val="14"/>
          <w:szCs w:val="14"/>
        </w:rPr>
      </w:pPr>
      <w:r w:rsidRPr="00D0288E">
        <w:rPr>
          <w:rStyle w:val="StyleBoldUnderline"/>
        </w:rPr>
        <w:t>Even</w:t>
      </w:r>
      <w:r w:rsidRPr="00D0288E">
        <w:rPr>
          <w:sz w:val="14"/>
        </w:rPr>
        <w:t xml:space="preserve"> RAWA, </w:t>
      </w:r>
      <w:r w:rsidRPr="00D0288E">
        <w:rPr>
          <w:rStyle w:val="StyleBoldUnderline"/>
        </w:rPr>
        <w:t>the now celebrated Revolutionary Association of the Women of Afghanistan, which was so instrumental in bringing to U.S. women’s attention to the excesses of the Taliban, has opposed the U.S. bombing from the beginning</w:t>
      </w:r>
      <w:r w:rsidRPr="00D0288E">
        <w:rPr>
          <w:sz w:val="14"/>
        </w:rPr>
        <w:t xml:space="preserve">. . . </w:t>
      </w:r>
      <w:r w:rsidRPr="00D0288E">
        <w:rPr>
          <w:rStyle w:val="StyleBoldUnderline"/>
        </w:rPr>
        <w:t>They consistently remind audiences to take a close look at the ways policies are being organized around oil interests, the arms industry, and the international drug trade</w:t>
      </w:r>
      <w:r w:rsidRPr="001915AD">
        <w:rPr>
          <w:rStyle w:val="StyleBoldUnderline"/>
        </w:rPr>
        <w:t xml:space="preserve">. </w:t>
      </w:r>
      <w:r w:rsidRPr="007F2BBC">
        <w:rPr>
          <w:sz w:val="14"/>
          <w:szCs w:val="14"/>
        </w:rPr>
        <w:t>They are not obsessed with the veil, even though they are the most radical feminists working for a secular democratic Afghanistan.28</w:t>
      </w:r>
    </w:p>
    <w:p w:rsidR="00161ACD" w:rsidRPr="007B4BD5" w:rsidRDefault="00161ACD" w:rsidP="00161ACD">
      <w:pPr>
        <w:rPr>
          <w:rStyle w:val="StyleBoldUnderline"/>
        </w:rPr>
      </w:pPr>
      <w:r w:rsidRPr="007F2BBC">
        <w:rPr>
          <w:sz w:val="14"/>
          <w:szCs w:val="14"/>
        </w:rPr>
        <w:t>This creates a sense that, from the beginning, the gender justice argument was almost entirely a symbolic one. This divergence in stated priorities – between the oppressed</w:t>
      </w:r>
      <w:r>
        <w:rPr>
          <w:sz w:val="14"/>
        </w:rPr>
        <w:t xml:space="preserve">, yet activist RAWA, and the liberating government, raises questions about the degree to which Muslim–particularly Afghan—women were and are seen as muted subalterns. Indeed, their subaltern status is assured by the fact that even when they actively campaigning for their own political priorities, their alleged liberators continue to speak for them. Indeed, the treatment of RAWA provides an illustration of Spivak’s argument that subalterneity, rather than defined as mere disenfranchisement or disadvantage, but a reduction to an identity defined only as difference. 29 </w:t>
      </w:r>
      <w:r w:rsidRPr="007B4BD5">
        <w:rPr>
          <w:rStyle w:val="StyleBoldUnderline"/>
        </w:rPr>
        <w:t xml:space="preserve">To return to a crucial element of Agamben’s idea of what structures states of exception: </w:t>
      </w:r>
    </w:p>
    <w:p w:rsidR="00161ACD" w:rsidRDefault="00161ACD" w:rsidP="00161ACD">
      <w:pPr>
        <w:rPr>
          <w:sz w:val="14"/>
        </w:rPr>
      </w:pPr>
      <w:r w:rsidRPr="007B4BD5">
        <w:rPr>
          <w:rStyle w:val="StyleBoldUnderline"/>
        </w:rPr>
        <w:t xml:space="preserve">…in the modern era, </w:t>
      </w:r>
      <w:r w:rsidRPr="00B064D3">
        <w:rPr>
          <w:rStyle w:val="StyleBoldUnderline"/>
          <w:highlight w:val="cyan"/>
        </w:rPr>
        <w:t xml:space="preserve">misery and exclusion are </w:t>
      </w:r>
      <w:r w:rsidRPr="007B4BD5">
        <w:rPr>
          <w:rStyle w:val="StyleBoldUnderline"/>
        </w:rPr>
        <w:t xml:space="preserve">not only economic or social concepts, but eminently </w:t>
      </w:r>
      <w:r w:rsidRPr="00B064D3">
        <w:rPr>
          <w:rStyle w:val="StyleBoldUnderline"/>
          <w:highlight w:val="cyan"/>
        </w:rPr>
        <w:t>political categories</w:t>
      </w:r>
      <w:r>
        <w:rPr>
          <w:sz w:val="14"/>
        </w:rPr>
        <w:t xml:space="preserve">. . . </w:t>
      </w:r>
      <w:r w:rsidRPr="007B4BD5">
        <w:rPr>
          <w:rStyle w:val="StyleBoldUnderline"/>
        </w:rPr>
        <w:t xml:space="preserve">In this sense, </w:t>
      </w:r>
      <w:r w:rsidRPr="00B064D3">
        <w:rPr>
          <w:rStyle w:val="StyleBoldUnderline"/>
          <w:highlight w:val="cyan"/>
        </w:rPr>
        <w:t xml:space="preserve">our age is nothing but the </w:t>
      </w:r>
      <w:r w:rsidRPr="007B4BD5">
        <w:rPr>
          <w:rStyle w:val="StyleBoldUnderline"/>
        </w:rPr>
        <w:t xml:space="preserve">implacable and </w:t>
      </w:r>
      <w:r w:rsidRPr="00B064D3">
        <w:rPr>
          <w:rStyle w:val="StyleBoldUnderline"/>
          <w:highlight w:val="cyan"/>
        </w:rPr>
        <w:t>methodical attempt to overcome the division dividing the people, to eliminate, radically the people that is excluded</w:t>
      </w:r>
      <w:r>
        <w:rPr>
          <w:sz w:val="14"/>
        </w:rPr>
        <w:t>.30</w:t>
      </w:r>
    </w:p>
    <w:p w:rsidR="00161ACD" w:rsidRDefault="00161ACD" w:rsidP="00161ACD">
      <w:pPr>
        <w:rPr>
          <w:sz w:val="14"/>
        </w:rPr>
      </w:pPr>
      <w:r w:rsidRPr="00B064D3">
        <w:rPr>
          <w:rStyle w:val="StyleBoldUnderline"/>
          <w:highlight w:val="cyan"/>
        </w:rPr>
        <w:t>It is possible</w:t>
      </w:r>
      <w:r w:rsidRPr="00D0288E">
        <w:rPr>
          <w:rStyle w:val="StyleBoldUnderline"/>
        </w:rPr>
        <w:t xml:space="preserve">, then, </w:t>
      </w:r>
      <w:r w:rsidRPr="00B064D3">
        <w:rPr>
          <w:rStyle w:val="StyleBoldUnderline"/>
          <w:highlight w:val="cyan"/>
        </w:rPr>
        <w:t>to read the instrumentalization of particular Afghan women’s advocacy as a consequence of the American public’s desire to accept any intervention that would eliminate this marked difference</w:t>
      </w:r>
      <w:r w:rsidRPr="00D0288E">
        <w:rPr>
          <w:rStyle w:val="StyleBoldUnderline"/>
        </w:rPr>
        <w:t xml:space="preserve">. This complicates the discussion of </w:t>
      </w:r>
      <w:proofErr w:type="gramStart"/>
      <w:r w:rsidRPr="00D0288E">
        <w:rPr>
          <w:rStyle w:val="StyleBoldUnderline"/>
        </w:rPr>
        <w:t>the a</w:t>
      </w:r>
      <w:proofErr w:type="gramEnd"/>
      <w:r w:rsidRPr="00D0288E">
        <w:rPr>
          <w:rStyle w:val="StyleBoldUnderline"/>
        </w:rPr>
        <w:t xml:space="preserve"> politics that encourage the use of the ‘liberation of Afghan women’ to justify violence that inevitably leads to the suffering of many such </w:t>
      </w:r>
      <w:r w:rsidRPr="00D0288E">
        <w:rPr>
          <w:rStyle w:val="StyleBoldUnderline"/>
        </w:rPr>
        <w:lastRenderedPageBreak/>
        <w:t>Afghan women</w:t>
      </w:r>
      <w:r w:rsidRPr="00D0288E">
        <w:rPr>
          <w:sz w:val="14"/>
        </w:rPr>
        <w:t>. If symbolic deployments of women’s images is shorthand for the existence of the ‘people’ that suffers and</w:t>
      </w:r>
      <w:r>
        <w:rPr>
          <w:sz w:val="14"/>
        </w:rPr>
        <w:t xml:space="preserve"> that must be eliminated through ‘development’ in some cases, and overt violence in others, then investigating the discursive construction of certain categories of women becomes an even more urgent task.</w:t>
      </w:r>
    </w:p>
    <w:p w:rsidR="00161ACD" w:rsidRDefault="00161ACD" w:rsidP="00161ACD">
      <w:pPr>
        <w:rPr>
          <w:sz w:val="14"/>
        </w:rPr>
      </w:pPr>
      <w:r>
        <w:rPr>
          <w:sz w:val="14"/>
        </w:rPr>
        <w:t xml:space="preserve">If Muslim women and their clothing will always be trotted out to illustrate the utter incommensurability of the East and West, the other strain of </w:t>
      </w:r>
      <w:r w:rsidRPr="00B064D3">
        <w:rPr>
          <w:rStyle w:val="StyleBoldUnderline"/>
          <w:highlight w:val="cyan"/>
        </w:rPr>
        <w:t>Abu-Lughod</w:t>
      </w:r>
      <w:r w:rsidRPr="005A4F5C">
        <w:rPr>
          <w:rStyle w:val="StyleBoldUnderline"/>
        </w:rPr>
        <w:t>’s essay,</w:t>
      </w:r>
      <w:r>
        <w:rPr>
          <w:sz w:val="14"/>
        </w:rPr>
        <w:t xml:space="preserve"> which </w:t>
      </w:r>
      <w:r w:rsidRPr="00B064D3">
        <w:rPr>
          <w:rStyle w:val="StyleBoldUnderline"/>
          <w:highlight w:val="cyan"/>
        </w:rPr>
        <w:t xml:space="preserve">calls on </w:t>
      </w:r>
      <w:r w:rsidRPr="005A4F5C">
        <w:rPr>
          <w:rStyle w:val="StyleBoldUnderline"/>
        </w:rPr>
        <w:t xml:space="preserve">academics and </w:t>
      </w:r>
      <w:r w:rsidRPr="00B064D3">
        <w:rPr>
          <w:rStyle w:val="StyleBoldUnderline"/>
          <w:highlight w:val="cyan"/>
        </w:rPr>
        <w:t xml:space="preserve">feminists </w:t>
      </w:r>
      <w:r w:rsidRPr="005A4F5C">
        <w:rPr>
          <w:rStyle w:val="StyleBoldUnderline"/>
        </w:rPr>
        <w:t xml:space="preserve">engaged in critiquing the purportedly natural institutional power around gender </w:t>
      </w:r>
      <w:r w:rsidRPr="00B064D3">
        <w:rPr>
          <w:rStyle w:val="StyleBoldUnderline"/>
          <w:highlight w:val="cyan"/>
        </w:rPr>
        <w:t>to look more closely at their own positions</w:t>
      </w:r>
      <w:r>
        <w:rPr>
          <w:sz w:val="14"/>
        </w:rPr>
        <w:t xml:space="preserve">. . Christine </w:t>
      </w:r>
      <w:r w:rsidRPr="00D0288E">
        <w:rPr>
          <w:rStyle w:val="StyleBoldUnderline"/>
        </w:rPr>
        <w:t>Sylvester echoes Abu Lughod’s concerns where she calls for academics and development workers to “look at ourselves looking at and aiding others”</w:t>
      </w:r>
      <w:r w:rsidRPr="00D0288E">
        <w:rPr>
          <w:sz w:val="14"/>
        </w:rPr>
        <w:t xml:space="preserve"> 31</w:t>
      </w:r>
      <w:r>
        <w:rPr>
          <w:sz w:val="14"/>
        </w:rPr>
        <w:t xml:space="preserve"> in light of the ways in which, as institutions, international development organizations and, more importantly, the Academy, are treated as separate from the political conditions that reinforce naturalseeming divisions and structures of domination. Indeed, </w:t>
      </w:r>
      <w:r w:rsidRPr="00B064D3">
        <w:rPr>
          <w:rStyle w:val="StyleBoldUnderline"/>
          <w:highlight w:val="cyan"/>
        </w:rPr>
        <w:t xml:space="preserve">this is </w:t>
      </w:r>
      <w:r w:rsidRPr="005A4F5C">
        <w:rPr>
          <w:rStyle w:val="StyleBoldUnderline"/>
        </w:rPr>
        <w:t xml:space="preserve">a particularly </w:t>
      </w:r>
      <w:r w:rsidRPr="00B064D3">
        <w:rPr>
          <w:rStyle w:val="StyleBoldUnderline"/>
          <w:highlight w:val="cyan"/>
        </w:rPr>
        <w:t xml:space="preserve">important </w:t>
      </w:r>
      <w:r w:rsidRPr="005A4F5C">
        <w:rPr>
          <w:rStyle w:val="StyleBoldUnderline"/>
        </w:rPr>
        <w:t xml:space="preserve">point of cohesion </w:t>
      </w:r>
      <w:r w:rsidRPr="00B064D3">
        <w:rPr>
          <w:rStyle w:val="StyleBoldUnderline"/>
          <w:highlight w:val="cyan"/>
        </w:rPr>
        <w:t>for theorists working on understanding states of exception and feminist academics</w:t>
      </w:r>
      <w:r w:rsidRPr="005A4F5C">
        <w:rPr>
          <w:rStyle w:val="StyleBoldUnderline"/>
        </w:rPr>
        <w:t>, driven by arguments following Mohanty’s</w:t>
      </w:r>
      <w:r>
        <w:rPr>
          <w:sz w:val="14"/>
        </w:rPr>
        <w:t>:</w:t>
      </w:r>
    </w:p>
    <w:p w:rsidR="00161ACD" w:rsidRPr="005A4F5C" w:rsidRDefault="00161ACD" w:rsidP="00161ACD">
      <w:pPr>
        <w:rPr>
          <w:rStyle w:val="StyleBoldUnderline"/>
          <w:b/>
        </w:rPr>
      </w:pPr>
      <w:r w:rsidRPr="00B064D3">
        <w:rPr>
          <w:rStyle w:val="StyleBoldUnderline"/>
          <w:b/>
          <w:highlight w:val="cyan"/>
        </w:rPr>
        <w:t xml:space="preserve">Western feminist scholarship cannot avoid the challenge of situating itself and examining its role in </w:t>
      </w:r>
      <w:r w:rsidRPr="005A4F5C">
        <w:rPr>
          <w:rStyle w:val="StyleBoldUnderline"/>
          <w:b/>
        </w:rPr>
        <w:t xml:space="preserve">such a global economic and </w:t>
      </w:r>
      <w:r w:rsidRPr="00B064D3">
        <w:rPr>
          <w:rStyle w:val="StyleBoldUnderline"/>
          <w:b/>
          <w:highlight w:val="cyan"/>
        </w:rPr>
        <w:t xml:space="preserve">political framework. To do any less would be to ignore the complex interconnections between First and Third World </w:t>
      </w:r>
      <w:r w:rsidRPr="005A4F5C">
        <w:rPr>
          <w:rStyle w:val="StyleBoldUnderline"/>
          <w:b/>
        </w:rPr>
        <w:t xml:space="preserve">economies </w:t>
      </w:r>
      <w:r w:rsidRPr="00B064D3">
        <w:rPr>
          <w:rStyle w:val="StyleBoldUnderline"/>
          <w:b/>
          <w:highlight w:val="cyan"/>
        </w:rPr>
        <w:t>and the profound effect of this on the lives of women in all countries</w:t>
      </w:r>
      <w:r w:rsidRPr="00B2600D">
        <w:rPr>
          <w:sz w:val="14"/>
          <w:szCs w:val="14"/>
        </w:rPr>
        <w:t>32</w:t>
      </w:r>
    </w:p>
    <w:p w:rsidR="00161ACD" w:rsidRDefault="00161ACD" w:rsidP="00161ACD">
      <w:pPr>
        <w:rPr>
          <w:sz w:val="14"/>
        </w:rPr>
      </w:pPr>
      <w:r>
        <w:rPr>
          <w:sz w:val="14"/>
        </w:rPr>
        <w:t>Abu-Lughod’s reminder that “</w:t>
      </w:r>
      <w:r w:rsidRPr="00686740">
        <w:rPr>
          <w:rStyle w:val="StyleBoldUnderline"/>
        </w:rPr>
        <w:t>We do not stand outside the world, looking out over this sea of poor benighted people, living under the shadow—or veil—of oppressive cultures; we are part of that world</w:t>
      </w:r>
      <w:r>
        <w:rPr>
          <w:sz w:val="14"/>
        </w:rPr>
        <w:t>. Islamic movements themselves have arisen in a world shaped by the intense engagements of Western powers in Middle Eastern lives”33 challenges the constructed division of (Middle) East and West that claims to necessitate an exceptional response. The challenge that Abu-Lughod poses for her audience, and particularly the part of her audience that also uses gender lens as both political and academic tool echoes both Sylvester34 and Spivak, who declares: “</w:t>
      </w:r>
      <w:r w:rsidRPr="00EB7A9C">
        <w:rPr>
          <w:rStyle w:val="StyleBoldUnderline"/>
        </w:rPr>
        <w:t>The subaltern cannot speak. There is no virtue in global laundry lists with ‘woman’ as a pious item. Representation has not withered away. The female intellectual as intellectual has a circumscribed task which she must not disown with a flourish.”</w:t>
      </w:r>
      <w:r>
        <w:rPr>
          <w:sz w:val="14"/>
        </w:rPr>
        <w:t xml:space="preserve">35 </w:t>
      </w:r>
      <w:r w:rsidRPr="00B064D3">
        <w:rPr>
          <w:rStyle w:val="StyleBoldUnderline"/>
          <w:b/>
          <w:highlight w:val="cyan"/>
        </w:rPr>
        <w:t xml:space="preserve">Gender </w:t>
      </w:r>
      <w:proofErr w:type="gramStart"/>
      <w:r w:rsidRPr="00B064D3">
        <w:rPr>
          <w:rStyle w:val="StyleBoldUnderline"/>
          <w:b/>
          <w:highlight w:val="cyan"/>
        </w:rPr>
        <w:t>theory</w:t>
      </w:r>
      <w:proofErr w:type="gramEnd"/>
      <w:r w:rsidRPr="00B064D3">
        <w:rPr>
          <w:rStyle w:val="StyleBoldUnderline"/>
          <w:b/>
          <w:highlight w:val="cyan"/>
        </w:rPr>
        <w:t xml:space="preserve"> </w:t>
      </w:r>
      <w:r w:rsidRPr="00EB7A9C">
        <w:rPr>
          <w:rStyle w:val="StyleBoldUnderline"/>
          <w:b/>
        </w:rPr>
        <w:t xml:space="preserve">to join postcolonial studies and development studies </w:t>
      </w:r>
      <w:r w:rsidRPr="00B064D3">
        <w:rPr>
          <w:rStyle w:val="StyleBoldUnderline"/>
          <w:b/>
          <w:highlight w:val="cyan"/>
        </w:rPr>
        <w:t>must</w:t>
      </w:r>
      <w:r w:rsidRPr="00EB7A9C">
        <w:rPr>
          <w:rStyle w:val="StyleBoldUnderline"/>
          <w:b/>
        </w:rPr>
        <w:t>,</w:t>
      </w:r>
      <w:r>
        <w:rPr>
          <w:sz w:val="14"/>
        </w:rPr>
        <w:t xml:space="preserve"> then, </w:t>
      </w:r>
      <w:r w:rsidRPr="00B064D3">
        <w:rPr>
          <w:rStyle w:val="StyleBoldUnderline"/>
          <w:b/>
          <w:highlight w:val="cyan"/>
        </w:rPr>
        <w:t xml:space="preserve">involve a degree of self-critique and take responsibility to “address </w:t>
      </w:r>
      <w:r w:rsidRPr="00EB7A9C">
        <w:rPr>
          <w:rStyle w:val="StyleBoldUnderline"/>
          <w:b/>
        </w:rPr>
        <w:t xml:space="preserve">more of </w:t>
      </w:r>
      <w:r w:rsidRPr="00B064D3">
        <w:rPr>
          <w:rStyle w:val="StyleBoldUnderline"/>
          <w:b/>
          <w:highlight w:val="cyan"/>
        </w:rPr>
        <w:t>the troubling biopolitics of our time.”</w:t>
      </w:r>
      <w:r>
        <w:rPr>
          <w:sz w:val="14"/>
        </w:rPr>
        <w:t>36</w:t>
      </w:r>
    </w:p>
    <w:p w:rsidR="00161ACD" w:rsidRPr="006614DE" w:rsidRDefault="00161ACD" w:rsidP="00161ACD">
      <w:pPr>
        <w:rPr>
          <w:rStyle w:val="StyleBoldUnderline"/>
        </w:rPr>
      </w:pPr>
      <w:r w:rsidRPr="006614DE">
        <w:rPr>
          <w:rStyle w:val="StyleBoldUnderline"/>
        </w:rPr>
        <w:t>Butler’s recent work</w:t>
      </w:r>
      <w:r>
        <w:rPr>
          <w:sz w:val="14"/>
        </w:rPr>
        <w:t xml:space="preserve"> on sexual politics </w:t>
      </w:r>
      <w:r w:rsidRPr="006614DE">
        <w:rPr>
          <w:rStyle w:val="StyleBoldUnderline"/>
        </w:rPr>
        <w:t xml:space="preserve">provides a vivid illustration of the use of academic work to inform </w:t>
      </w:r>
      <w:r w:rsidRPr="009D1F68">
        <w:rPr>
          <w:rStyle w:val="StyleBoldUnderline"/>
        </w:rPr>
        <w:t>the construction of state of exception</w:t>
      </w:r>
      <w:r w:rsidRPr="009D1F68">
        <w:rPr>
          <w:sz w:val="14"/>
        </w:rPr>
        <w:t>. Butler argues that ‘</w:t>
      </w:r>
      <w:r w:rsidRPr="009D1F68">
        <w:rPr>
          <w:rStyle w:val="StyleBoldUnderline"/>
        </w:rPr>
        <w:t>Bad anthropology’</w:t>
      </w:r>
      <w:r w:rsidRPr="009D1F68">
        <w:rPr>
          <w:sz w:val="14"/>
        </w:rPr>
        <w:t xml:space="preserve"> in the form of a book titled The Arab Mind </w:t>
      </w:r>
      <w:r w:rsidRPr="009D1F68">
        <w:rPr>
          <w:rStyle w:val="StyleBoldUnderline"/>
        </w:rPr>
        <w:t>was used in making up procedures meant to intimidate, humiliate and control detainees</w:t>
      </w:r>
      <w:r w:rsidRPr="009D1F68">
        <w:rPr>
          <w:sz w:val="14"/>
        </w:rPr>
        <w:t xml:space="preserve">:. “Since of course there is no ‘Arab mind,’ and it is not possible to attribute the same fears and anxieties across the Arab world to its geographical complexity and its cosmopolitan formulation, the text constructed an object that it could manipulate.”37 </w:t>
      </w:r>
      <w:r w:rsidRPr="009D1F68">
        <w:rPr>
          <w:rStyle w:val="StyleBoldUnderline"/>
        </w:rPr>
        <w:t>In addition to highlighting the ethical responsibilities of the academic, Butler extends the critiques of the state of exception, to reveal its reliance on an idea of a specific, simplistic</w:t>
      </w:r>
      <w:r w:rsidRPr="006614DE">
        <w:rPr>
          <w:rStyle w:val="StyleBoldUnderline"/>
        </w:rPr>
        <w:t xml:space="preserve"> form of cultural difference reinforced by an academic text.</w:t>
      </w:r>
    </w:p>
    <w:p w:rsidR="00161ACD" w:rsidRPr="00C85B82" w:rsidRDefault="00161ACD" w:rsidP="00161ACD">
      <w:pPr>
        <w:rPr>
          <w:rStyle w:val="StyleBoldUnderline"/>
          <w:b/>
        </w:rPr>
      </w:pPr>
      <w:r w:rsidRPr="005A2D2F">
        <w:rPr>
          <w:rStyle w:val="StyleBoldUnderline"/>
        </w:rPr>
        <w:t>In considering the ways in which American politics have taken an exceptional form</w:t>
      </w:r>
      <w:r w:rsidRPr="005A2D2F">
        <w:rPr>
          <w:sz w:val="14"/>
        </w:rPr>
        <w:t xml:space="preserve"> </w:t>
      </w:r>
      <w:r>
        <w:rPr>
          <w:sz w:val="14"/>
        </w:rPr>
        <w:t xml:space="preserve">in the last few years, </w:t>
      </w:r>
      <w:r w:rsidRPr="005A2D2F">
        <w:rPr>
          <w:rStyle w:val="StyleBoldUnderline"/>
        </w:rPr>
        <w:t>it is striking to read</w:t>
      </w:r>
      <w:r>
        <w:rPr>
          <w:sz w:val="14"/>
        </w:rPr>
        <w:t xml:space="preserve">, repeatedly, </w:t>
      </w:r>
      <w:r w:rsidRPr="005A2D2F">
        <w:rPr>
          <w:rStyle w:val="StyleBoldUnderline"/>
        </w:rPr>
        <w:t>the overt demands for a new configuration of politics from theorists discussing states of exception</w:t>
      </w:r>
      <w:r>
        <w:rPr>
          <w:sz w:val="14"/>
        </w:rPr>
        <w:t xml:space="preserve">. </w:t>
      </w:r>
      <w:r w:rsidRPr="00B064D3">
        <w:rPr>
          <w:rStyle w:val="StyleBoldUnderline"/>
          <w:b/>
          <w:highlight w:val="cyan"/>
        </w:rPr>
        <w:t xml:space="preserve">While Agamben’s theory </w:t>
      </w:r>
      <w:r w:rsidRPr="00C85B82">
        <w:rPr>
          <w:rStyle w:val="StyleBoldUnderline"/>
          <w:b/>
        </w:rPr>
        <w:t xml:space="preserve">of the state of exception </w:t>
      </w:r>
      <w:r w:rsidRPr="00B064D3">
        <w:rPr>
          <w:rStyle w:val="StyleBoldUnderline"/>
          <w:b/>
          <w:highlight w:val="cyan"/>
        </w:rPr>
        <w:t xml:space="preserve">is neither </w:t>
      </w:r>
      <w:r w:rsidRPr="00C85B82">
        <w:rPr>
          <w:rStyle w:val="StyleBoldUnderline"/>
          <w:b/>
        </w:rPr>
        <w:t xml:space="preserve">a </w:t>
      </w:r>
      <w:r w:rsidRPr="00B064D3">
        <w:rPr>
          <w:rStyle w:val="StyleBoldUnderline"/>
          <w:b/>
          <w:highlight w:val="cyan"/>
        </w:rPr>
        <w:t xml:space="preserve">perfect </w:t>
      </w:r>
      <w:r w:rsidRPr="00C85B82">
        <w:rPr>
          <w:rStyle w:val="StyleBoldUnderline"/>
          <w:b/>
        </w:rPr>
        <w:t xml:space="preserve">description of the world, </w:t>
      </w:r>
      <w:r w:rsidRPr="00D0288E">
        <w:rPr>
          <w:rStyle w:val="StyleBoldUnderline"/>
          <w:b/>
        </w:rPr>
        <w:t xml:space="preserve">nor a solution to all </w:t>
      </w:r>
      <w:r w:rsidRPr="00C85B82">
        <w:rPr>
          <w:rStyle w:val="StyleBoldUnderline"/>
          <w:b/>
        </w:rPr>
        <w:t xml:space="preserve">of the </w:t>
      </w:r>
      <w:r w:rsidRPr="00D0288E">
        <w:rPr>
          <w:rStyle w:val="StyleBoldUnderline"/>
          <w:b/>
        </w:rPr>
        <w:t xml:space="preserve">difficulties </w:t>
      </w:r>
      <w:r w:rsidRPr="00C85B82">
        <w:rPr>
          <w:rStyle w:val="StyleBoldUnderline"/>
          <w:b/>
        </w:rPr>
        <w:t>within gender theory</w:t>
      </w:r>
      <w:r>
        <w:rPr>
          <w:sz w:val="14"/>
        </w:rPr>
        <w:t xml:space="preserve">, or in the relationships gender theory has with other critical fields, </w:t>
      </w:r>
      <w:r w:rsidRPr="00B064D3">
        <w:rPr>
          <w:rStyle w:val="StyleBoldUnderline"/>
          <w:b/>
          <w:highlight w:val="cyan"/>
        </w:rPr>
        <w:t>it provides useful dimensions for exploring gender-based inquiries</w:t>
      </w:r>
      <w:r w:rsidRPr="00D0288E">
        <w:rPr>
          <w:rStyle w:val="StyleBoldUnderline"/>
          <w:b/>
        </w:rPr>
        <w:t xml:space="preserve"> into exercises of power within and beyond the law</w:t>
      </w:r>
      <w:r w:rsidRPr="00C85B82">
        <w:rPr>
          <w:rStyle w:val="StyleBoldUnderline"/>
          <w:b/>
        </w:rPr>
        <w:t xml:space="preserve">. </w:t>
      </w:r>
    </w:p>
    <w:p w:rsidR="00161ACD" w:rsidRPr="00BC283A" w:rsidRDefault="00161ACD" w:rsidP="00161ACD">
      <w:pPr>
        <w:tabs>
          <w:tab w:val="left" w:pos="2865"/>
        </w:tabs>
        <w:rPr>
          <w:rStyle w:val="StyleBoldUnderline"/>
        </w:rPr>
      </w:pPr>
      <w:r>
        <w:rPr>
          <w:sz w:val="14"/>
        </w:rPr>
        <w:t xml:space="preserve">In their discussions of different elements of the discourse and conduct of the ‘war on terrorism,’ Judith Butler and Lila Abu-Lughod have highlighted many of the historical precedents and contextual influences for this particular conflict and the institutions it depends on to continue. </w:t>
      </w:r>
      <w:r w:rsidRPr="00D0288E">
        <w:rPr>
          <w:rStyle w:val="StyleBoldUnderline"/>
        </w:rPr>
        <w:t>The</w:t>
      </w:r>
      <w:r w:rsidRPr="00D0288E">
        <w:rPr>
          <w:sz w:val="14"/>
        </w:rPr>
        <w:t xml:space="preserve">ir </w:t>
      </w:r>
      <w:r w:rsidRPr="00D0288E">
        <w:rPr>
          <w:rStyle w:val="StyleBoldUnderline"/>
        </w:rPr>
        <w:t xml:space="preserve">arguments underscore the responsibility gender theorists hold for engaging with the distribution of power that allows this to persist. </w:t>
      </w:r>
      <w:r w:rsidRPr="00B064D3">
        <w:rPr>
          <w:rStyle w:val="StyleBoldUnderline"/>
          <w:highlight w:val="cyan"/>
        </w:rPr>
        <w:t xml:space="preserve">This responsibility </w:t>
      </w:r>
      <w:r w:rsidRPr="00BC283A">
        <w:rPr>
          <w:rStyle w:val="StyleBoldUnderline"/>
        </w:rPr>
        <w:t xml:space="preserve">extends </w:t>
      </w:r>
      <w:r w:rsidRPr="00B064D3">
        <w:rPr>
          <w:rStyle w:val="StyleBoldUnderline"/>
          <w:highlight w:val="cyan"/>
        </w:rPr>
        <w:t>begins with the task of investigating and</w:t>
      </w:r>
      <w:r w:rsidRPr="00BC283A">
        <w:rPr>
          <w:rStyle w:val="StyleBoldUnderline"/>
        </w:rPr>
        <w:t xml:space="preserve">, where appropriate, </w:t>
      </w:r>
      <w:r w:rsidRPr="00B064D3">
        <w:rPr>
          <w:rStyle w:val="StyleBoldUnderline"/>
          <w:highlight w:val="cyan"/>
        </w:rPr>
        <w:t>challenging claims that women can be liberated by a</w:t>
      </w:r>
      <w:r w:rsidRPr="00BC283A">
        <w:rPr>
          <w:rStyle w:val="StyleBoldUnderline"/>
        </w:rPr>
        <w:t xml:space="preserve"> foreign </w:t>
      </w:r>
      <w:r w:rsidRPr="00B064D3">
        <w:rPr>
          <w:rStyle w:val="StyleBoldUnderline"/>
          <w:highlight w:val="cyan"/>
        </w:rPr>
        <w:t xml:space="preserve">government’s invasion </w:t>
      </w:r>
      <w:r w:rsidRPr="00BC283A">
        <w:rPr>
          <w:rStyle w:val="StyleBoldUnderline"/>
        </w:rPr>
        <w:t xml:space="preserve">of their country. </w:t>
      </w:r>
    </w:p>
    <w:p w:rsidR="00161ACD" w:rsidRPr="00BE628C" w:rsidRDefault="00161ACD" w:rsidP="00161ACD">
      <w:pPr>
        <w:tabs>
          <w:tab w:val="left" w:pos="2865"/>
        </w:tabs>
        <w:rPr>
          <w:rStyle w:val="StyleBoldUnderline"/>
          <w:b/>
        </w:rPr>
      </w:pPr>
      <w:r w:rsidRPr="00A23BA1">
        <w:rPr>
          <w:sz w:val="14"/>
          <w:szCs w:val="14"/>
        </w:rPr>
        <w:t>Whether the conduct of this conflict consists a point at which a truly new politics, heeding Agamben’s claim that “</w:t>
      </w:r>
      <w:r w:rsidRPr="00B064D3">
        <w:rPr>
          <w:rStyle w:val="StyleBoldUnderline"/>
          <w:b/>
          <w:highlight w:val="cyan"/>
        </w:rPr>
        <w:t>only a politics that will have learned to take the fundamental biopolitical fracture of the West into account will be able to stop this oscillation and to put an end to the civil war</w:t>
      </w:r>
      <w:r w:rsidRPr="00D0288E">
        <w:rPr>
          <w:rStyle w:val="StyleBoldUnderline"/>
          <w:b/>
        </w:rPr>
        <w:t xml:space="preserve"> that divides the people and the cities of the earth</w:t>
      </w:r>
      <w:r>
        <w:rPr>
          <w:sz w:val="14"/>
        </w:rPr>
        <w:t xml:space="preserve">,” </w:t>
      </w:r>
      <w:r w:rsidRPr="00A23BA1">
        <w:rPr>
          <w:sz w:val="14"/>
          <w:szCs w:val="14"/>
        </w:rPr>
        <w:t>38 or Butler’s lamentation of the lost opportunity to introduce a nonviolent ethics American politics based in the awareness of its own vulnerability39 remains to be seen. However</w:t>
      </w:r>
      <w:r>
        <w:rPr>
          <w:sz w:val="14"/>
        </w:rPr>
        <w:t xml:space="preserve">, </w:t>
      </w:r>
      <w:r w:rsidRPr="00B064D3">
        <w:rPr>
          <w:rStyle w:val="StyleBoldUnderline"/>
          <w:b/>
          <w:highlight w:val="cyan"/>
        </w:rPr>
        <w:t>the possibility that theorizations of states of exception offers to disciplines that already function as critiques of biopower is one of altering, or expanding the basis for critique</w:t>
      </w:r>
      <w:r w:rsidRPr="00B7139C">
        <w:rPr>
          <w:rStyle w:val="StyleBoldUnderline"/>
        </w:rPr>
        <w:t>.</w:t>
      </w:r>
      <w:r>
        <w:rPr>
          <w:sz w:val="14"/>
        </w:rPr>
        <w:t xml:space="preserve"> Perhaps, </w:t>
      </w:r>
      <w:r w:rsidRPr="00B064D3">
        <w:rPr>
          <w:rStyle w:val="StyleBoldUnderline"/>
          <w:highlight w:val="cyan"/>
        </w:rPr>
        <w:t>through the reflection of engagements of states of exception and gender it will be possible to</w:t>
      </w:r>
      <w:r w:rsidRPr="00B064D3">
        <w:rPr>
          <w:sz w:val="14"/>
          <w:highlight w:val="cyan"/>
        </w:rPr>
        <w:t xml:space="preserve"> </w:t>
      </w:r>
      <w:r>
        <w:rPr>
          <w:sz w:val="14"/>
        </w:rPr>
        <w:t xml:space="preserve">follow Butler’s argument “only . . . a </w:t>
      </w:r>
      <w:r w:rsidRPr="00B064D3">
        <w:rPr>
          <w:rStyle w:val="StyleBoldUnderline"/>
          <w:highlight w:val="cyan"/>
        </w:rPr>
        <w:t>critique</w:t>
      </w:r>
      <w:r w:rsidRPr="00B064D3">
        <w:rPr>
          <w:sz w:val="14"/>
          <w:highlight w:val="cyan"/>
        </w:rPr>
        <w:t xml:space="preserve"> </w:t>
      </w:r>
      <w:r>
        <w:rPr>
          <w:sz w:val="14"/>
        </w:rPr>
        <w:t xml:space="preserve">of state </w:t>
      </w:r>
      <w:r w:rsidRPr="00B064D3">
        <w:rPr>
          <w:rStyle w:val="StyleBoldUnderline"/>
          <w:highlight w:val="cyan"/>
        </w:rPr>
        <w:t>violence</w:t>
      </w:r>
      <w:r>
        <w:rPr>
          <w:sz w:val="14"/>
        </w:rPr>
        <w:t xml:space="preserve">” will allow for “finding </w:t>
      </w:r>
      <w:r w:rsidRPr="00B064D3">
        <w:rPr>
          <w:rStyle w:val="StyleBoldUnderline"/>
          <w:highlight w:val="cyan"/>
        </w:rPr>
        <w:t>and acknowledg</w:t>
      </w:r>
      <w:r w:rsidRPr="00BE628C">
        <w:rPr>
          <w:sz w:val="14"/>
          <w:szCs w:val="14"/>
        </w:rPr>
        <w:t xml:space="preserve">ing </w:t>
      </w:r>
      <w:r w:rsidRPr="00BE628C">
        <w:rPr>
          <w:rStyle w:val="StyleBoldUnderline"/>
        </w:rPr>
        <w:t xml:space="preserve">the </w:t>
      </w:r>
      <w:r w:rsidRPr="00BE628C">
        <w:rPr>
          <w:rStyle w:val="StyleBoldUnderline"/>
        </w:rPr>
        <w:lastRenderedPageBreak/>
        <w:t xml:space="preserve">already existing alliances and </w:t>
      </w:r>
      <w:r w:rsidRPr="00B064D3">
        <w:rPr>
          <w:rStyle w:val="StyleBoldUnderline"/>
          <w:highlight w:val="cyan"/>
        </w:rPr>
        <w:t>sites of contact . . . in order to consider systematically how coercion seeks to divide us and to keep attention deflected from the critique of violence itself</w:t>
      </w:r>
      <w:r w:rsidRPr="00B064D3">
        <w:rPr>
          <w:sz w:val="14"/>
          <w:highlight w:val="cyan"/>
        </w:rPr>
        <w:t>,”</w:t>
      </w:r>
      <w:r>
        <w:rPr>
          <w:sz w:val="14"/>
        </w:rPr>
        <w:t xml:space="preserve">40 </w:t>
      </w:r>
      <w:r w:rsidRPr="00B064D3">
        <w:rPr>
          <w:rStyle w:val="StyleBoldUnderline"/>
          <w:highlight w:val="cyan"/>
        </w:rPr>
        <w:t xml:space="preserve">and, from there, </w:t>
      </w:r>
      <w:r w:rsidRPr="00B064D3">
        <w:rPr>
          <w:rStyle w:val="StyleBoldUnderline"/>
          <w:b/>
          <w:highlight w:val="cyan"/>
        </w:rPr>
        <w:t xml:space="preserve">to approach politics, representation, and the exercise of power in new ways. </w:t>
      </w:r>
    </w:p>
    <w:p w:rsidR="00161ACD" w:rsidRPr="00514029" w:rsidRDefault="00161ACD" w:rsidP="00161ACD"/>
    <w:p w:rsidR="00161ACD" w:rsidRPr="00071187" w:rsidRDefault="00161ACD" w:rsidP="00161ACD">
      <w:pPr>
        <w:pStyle w:val="Heading4"/>
      </w:pPr>
      <w:r w:rsidRPr="00071187">
        <w:t xml:space="preserve">The first link is essentialism--—not only does this fail to take lesbians into </w:t>
      </w:r>
      <w:proofErr w:type="gramStart"/>
      <w:r w:rsidRPr="00071187">
        <w:t>account,</w:t>
      </w:r>
      <w:proofErr w:type="gramEnd"/>
      <w:r w:rsidRPr="00071187">
        <w:t xml:space="preserve"> it ignores women who have restructured their relations with men.  They claim actively excludes some women.</w:t>
      </w:r>
    </w:p>
    <w:p w:rsidR="00161ACD" w:rsidRPr="001E603B" w:rsidRDefault="00161ACD" w:rsidP="00161ACD"/>
    <w:p w:rsidR="00161ACD" w:rsidRDefault="00161ACD" w:rsidP="00161ACD">
      <w:proofErr w:type="gramStart"/>
      <w:r w:rsidRPr="00953471">
        <w:rPr>
          <w:rStyle w:val="StyleStyleBold12pt"/>
        </w:rPr>
        <w:t>Cain, 1994</w:t>
      </w:r>
      <w:r w:rsidRPr="00953471">
        <w:t xml:space="preserve"> [Patricia, Professor of Law, University of Iowa.</w:t>
      </w:r>
      <w:proofErr w:type="gramEnd"/>
      <w:r>
        <w:t xml:space="preserve"> </w:t>
      </w:r>
      <w:r w:rsidRPr="00953471">
        <w:t>”LESBIAN PERSPECTIVE, LESBIAN EXPERIENCE, AND THE</w:t>
      </w:r>
      <w:r w:rsidRPr="00953471">
        <w:rPr>
          <w:sz w:val="12"/>
        </w:rPr>
        <w:t xml:space="preserve">¶ </w:t>
      </w:r>
      <w:r w:rsidRPr="00953471">
        <w:t>RISK OF ESSENTIALISM</w:t>
      </w:r>
      <w:r>
        <w:t>”</w:t>
      </w:r>
      <w:r w:rsidRPr="00B535C1">
        <w:rPr>
          <w:rFonts w:ascii="ArnoPro" w:hAnsi="ArnoPro" w:cs="ArnoPro"/>
          <w:sz w:val="18"/>
          <w:szCs w:val="18"/>
        </w:rPr>
        <w:t xml:space="preserve"> </w:t>
      </w:r>
      <w:r>
        <w:rPr>
          <w:rFonts w:ascii="ArnoPro" w:hAnsi="ArnoPro" w:cs="ArnoPro"/>
          <w:sz w:val="18"/>
          <w:szCs w:val="18"/>
        </w:rPr>
        <w:t>2 Va. J. Soc. Pol'y &amp; L. 43</w:t>
      </w:r>
      <w:r w:rsidRPr="00953471">
        <w:t>]</w:t>
      </w:r>
      <w:r w:rsidRPr="000D6267">
        <w:t xml:space="preserve"> </w:t>
      </w:r>
    </w:p>
    <w:p w:rsidR="00161ACD" w:rsidRDefault="00161ACD" w:rsidP="00161ACD"/>
    <w:p w:rsidR="00161ACD" w:rsidRPr="00AD4501" w:rsidRDefault="00161ACD" w:rsidP="00161ACD">
      <w:pPr>
        <w:rPr>
          <w:rStyle w:val="StyleBoldUnderline"/>
        </w:rPr>
      </w:pPr>
      <w:r w:rsidRPr="00A43591">
        <w:t xml:space="preserve">I have a different response to </w:t>
      </w:r>
      <w:r w:rsidRPr="00E62A53">
        <w:rPr>
          <w:rStyle w:val="StyleBoldUnderline"/>
          <w:highlight w:val="yellow"/>
        </w:rPr>
        <w:t>theorists</w:t>
      </w:r>
      <w:r w:rsidRPr="00A43591">
        <w:rPr>
          <w:rStyle w:val="StyleBoldUnderline"/>
        </w:rPr>
        <w:t xml:space="preserve"> </w:t>
      </w:r>
      <w:r w:rsidRPr="00A43591">
        <w:t>who</w:t>
      </w:r>
      <w:r w:rsidRPr="00A43591">
        <w:rPr>
          <w:rStyle w:val="StyleBoldUnderline"/>
        </w:rPr>
        <w:t xml:space="preserve"> </w:t>
      </w:r>
      <w:r w:rsidRPr="00E62A53">
        <w:rPr>
          <w:rStyle w:val="StyleBoldUnderline"/>
          <w:highlight w:val="yellow"/>
        </w:rPr>
        <w:t>claim</w:t>
      </w:r>
      <w:r w:rsidRPr="00A43591">
        <w:rPr>
          <w:rStyle w:val="StyleBoldUnderline"/>
        </w:rPr>
        <w:t xml:space="preserve"> </w:t>
      </w:r>
      <w:r w:rsidRPr="00E62A53">
        <w:rPr>
          <w:rStyle w:val="StyleBoldUnderline"/>
        </w:rPr>
        <w:t>that</w:t>
      </w:r>
      <w:r w:rsidRPr="00A43591">
        <w:rPr>
          <w:rStyle w:val="StyleBoldUnderline"/>
        </w:rPr>
        <w:t xml:space="preserve"> </w:t>
      </w:r>
      <w:r w:rsidRPr="00E62A53">
        <w:rPr>
          <w:rStyle w:val="StyleBoldUnderline"/>
          <w:highlight w:val="yellow"/>
        </w:rPr>
        <w:t>sexual exploitation</w:t>
      </w:r>
      <w:r w:rsidRPr="00A43591">
        <w:rPr>
          <w:rStyle w:val="StyleBoldUnderline"/>
        </w:rPr>
        <w:t xml:space="preserve">¶ or domination by men </w:t>
      </w:r>
      <w:r w:rsidRPr="00E62A53">
        <w:rPr>
          <w:rStyle w:val="StyleBoldUnderline"/>
          <w:highlight w:val="yellow"/>
        </w:rPr>
        <w:t>is the core experience which forges</w:t>
      </w:r>
      <w:r w:rsidRPr="00A43591">
        <w:rPr>
          <w:rStyle w:val="StyleBoldUnderline"/>
        </w:rPr>
        <w:t xml:space="preserve"> a¶ united category purported to be "</w:t>
      </w:r>
      <w:r w:rsidRPr="00E62A53">
        <w:rPr>
          <w:rStyle w:val="StyleBoldUnderline"/>
          <w:highlight w:val="yellow"/>
        </w:rPr>
        <w:t>woman</w:t>
      </w:r>
      <w:r w:rsidRPr="00A43591">
        <w:t xml:space="preserve">." </w:t>
      </w:r>
      <w:r w:rsidRPr="00A43591">
        <w:rPr>
          <w:rStyle w:val="StyleBoldUnderline"/>
        </w:rPr>
        <w:t>While many women do experience¶ some form of sexual exploitation</w:t>
      </w:r>
      <w:r w:rsidRPr="00A43591">
        <w:t xml:space="preserve"> or domination, we experience¶ these events as objects or victims. </w:t>
      </w:r>
      <w:r w:rsidRPr="00A43591">
        <w:rPr>
          <w:rStyle w:val="Emphasis"/>
        </w:rPr>
        <w:t>Some</w:t>
      </w:r>
      <w:r w:rsidRPr="00A43591">
        <w:rPr>
          <w:rStyle w:val="StyleBoldUnderline"/>
        </w:rPr>
        <w:t xml:space="preserve"> women internalize these¶ experiences and develop an identity</w:t>
      </w:r>
      <w:r w:rsidRPr="00A43591">
        <w:t xml:space="preserve"> (or perhaps, more accurately, a¶ nonidentity) </w:t>
      </w:r>
      <w:r w:rsidRPr="00A43591">
        <w:rPr>
          <w:rStyle w:val="StyleBoldUnderline"/>
        </w:rPr>
        <w:t>as victim</w:t>
      </w:r>
      <w:r w:rsidRPr="00A43591">
        <w:t xml:space="preserve">. 72 </w:t>
      </w:r>
      <w:r w:rsidRPr="00AD4501">
        <w:rPr>
          <w:rStyle w:val="StyleBoldUnderline"/>
        </w:rPr>
        <w:t xml:space="preserve">But, </w:t>
      </w:r>
      <w:r w:rsidRPr="00E62A53">
        <w:rPr>
          <w:rStyle w:val="Emphasis"/>
          <w:highlight w:val="yellow"/>
        </w:rPr>
        <w:t>some</w:t>
      </w:r>
      <w:r w:rsidRPr="00E62A53">
        <w:rPr>
          <w:rStyle w:val="StyleBoldUnderline"/>
          <w:highlight w:val="yellow"/>
        </w:rPr>
        <w:t xml:space="preserve"> women resist and claim their own¶ agency</w:t>
      </w:r>
      <w:r w:rsidRPr="00A43591">
        <w:t xml:space="preserve">. </w:t>
      </w:r>
      <w:r w:rsidRPr="00AD4501">
        <w:rPr>
          <w:rStyle w:val="StyleBoldUnderline"/>
        </w:rPr>
        <w:t>Lesbians in particular remove themselves from spheres of¶ sexual domination</w:t>
      </w:r>
      <w:r w:rsidRPr="00A43591">
        <w:t xml:space="preserve"> by removing themselves from intimate sexual association¶ with men.73 </w:t>
      </w:r>
      <w:proofErr w:type="gramStart"/>
      <w:r w:rsidRPr="00A43591">
        <w:t>So</w:t>
      </w:r>
      <w:proofErr w:type="gramEnd"/>
      <w:r w:rsidRPr="00A43591">
        <w:t xml:space="preserve"> do nonlesbian women who elect to remain¶ single and celibate. </w:t>
      </w:r>
      <w:r w:rsidRPr="00AD4501">
        <w:rPr>
          <w:rStyle w:val="StyleBoldUnderline"/>
        </w:rPr>
        <w:t>And</w:t>
      </w:r>
      <w:r w:rsidRPr="00A43591">
        <w:t xml:space="preserve"> I believe </w:t>
      </w:r>
      <w:r w:rsidRPr="00E62A53">
        <w:rPr>
          <w:rStyle w:val="StyleBoldUnderline"/>
          <w:highlight w:val="yellow"/>
        </w:rPr>
        <w:t>there are</w:t>
      </w:r>
      <w:r w:rsidRPr="00A43591">
        <w:t xml:space="preserve"> some </w:t>
      </w:r>
      <w:r w:rsidRPr="00E62A53">
        <w:rPr>
          <w:rStyle w:val="Emphasis"/>
          <w:highlight w:val="yellow"/>
        </w:rPr>
        <w:t>nonlesbian</w:t>
      </w:r>
      <w:r w:rsidRPr="00E62A53">
        <w:rPr>
          <w:highlight w:val="yellow"/>
        </w:rPr>
        <w:t xml:space="preserve"> </w:t>
      </w:r>
      <w:r w:rsidRPr="00E62A53">
        <w:rPr>
          <w:rStyle w:val="StyleBoldUnderline"/>
          <w:highlight w:val="yellow"/>
        </w:rPr>
        <w:t>women partnered with men who have (re)structured their intimate relationships¶</w:t>
      </w:r>
      <w:r w:rsidRPr="00AD4501">
        <w:rPr>
          <w:rStyle w:val="StyleBoldUnderline"/>
        </w:rPr>
        <w:t xml:space="preserve"> </w:t>
      </w:r>
      <w:r w:rsidRPr="00E62A53">
        <w:rPr>
          <w:rStyle w:val="StyleBoldUnderline"/>
          <w:highlight w:val="yellow"/>
        </w:rPr>
        <w:t>to</w:t>
      </w:r>
      <w:r w:rsidRPr="00A43591">
        <w:t xml:space="preserve"> reduce, or in rare cases </w:t>
      </w:r>
      <w:r w:rsidRPr="00E62A53">
        <w:rPr>
          <w:rStyle w:val="StyleBoldUnderline"/>
          <w:highlight w:val="yellow"/>
        </w:rPr>
        <w:t>remove</w:t>
      </w:r>
      <w:r w:rsidRPr="00AD4501">
        <w:rPr>
          <w:rStyle w:val="StyleBoldUnderline"/>
        </w:rPr>
        <w:t xml:space="preserve">, </w:t>
      </w:r>
      <w:r w:rsidRPr="00E62A53">
        <w:rPr>
          <w:rStyle w:val="StyleBoldUnderline"/>
          <w:highlight w:val="yellow"/>
        </w:rPr>
        <w:t>male</w:t>
      </w:r>
      <w:r w:rsidRPr="00AD4501">
        <w:rPr>
          <w:rStyle w:val="StyleBoldUnderline"/>
        </w:rPr>
        <w:t xml:space="preserve"> sexual </w:t>
      </w:r>
      <w:r w:rsidRPr="00E62A53">
        <w:rPr>
          <w:rStyle w:val="StyleBoldUnderline"/>
          <w:highlight w:val="yellow"/>
        </w:rPr>
        <w:t>domination</w:t>
      </w:r>
      <w:r w:rsidRPr="00A43591">
        <w:t>. That</w:t>
      </w:r>
      <w:r w:rsidRPr="00A43591">
        <w:rPr>
          <w:sz w:val="12"/>
        </w:rPr>
        <w:t xml:space="preserve">¶ </w:t>
      </w:r>
      <w:r w:rsidRPr="00A43591">
        <w:t>does not mean that any of us escape the threat or reality of rape or that</w:t>
      </w:r>
      <w:r w:rsidRPr="00A43591">
        <w:rPr>
          <w:sz w:val="12"/>
        </w:rPr>
        <w:t xml:space="preserve">¶ </w:t>
      </w:r>
      <w:r w:rsidRPr="00A43591">
        <w:t>we escape experiences of sexual harassment. But, we do escape the</w:t>
      </w:r>
      <w:r w:rsidRPr="00A43591">
        <w:rPr>
          <w:sz w:val="12"/>
        </w:rPr>
        <w:t xml:space="preserve">¶ </w:t>
      </w:r>
      <w:r w:rsidRPr="00A43591">
        <w:t>constant pressuring from a male partner to engage in sexual activity</w:t>
      </w:r>
      <w:r w:rsidRPr="00A43591">
        <w:rPr>
          <w:sz w:val="12"/>
        </w:rPr>
        <w:t xml:space="preserve">¶ </w:t>
      </w:r>
      <w:r w:rsidRPr="00A43591">
        <w:t>when we do not want to, the maneuvering towards sexual activity on a</w:t>
      </w:r>
      <w:r w:rsidRPr="00A43591">
        <w:rPr>
          <w:sz w:val="12"/>
        </w:rPr>
        <w:t xml:space="preserve">¶ </w:t>
      </w:r>
      <w:r w:rsidRPr="00A43591">
        <w:t>first date, and the compliments about our bodies by men who speak as</w:t>
      </w:r>
      <w:r w:rsidRPr="00A43591">
        <w:rPr>
          <w:sz w:val="12"/>
        </w:rPr>
        <w:t xml:space="preserve">¶ </w:t>
      </w:r>
      <w:r w:rsidRPr="00A43591">
        <w:t xml:space="preserve">though they have the right to judge our attractiveness. Thus, </w:t>
      </w:r>
      <w:r w:rsidRPr="00AD4501">
        <w:rPr>
          <w:rStyle w:val="StyleBoldUnderline"/>
        </w:rPr>
        <w:t>although¶ there is widely-shared experience, as women, of sexual domination</w:t>
      </w:r>
      <w:proofErr w:type="gramStart"/>
      <w:r w:rsidRPr="00AD4501">
        <w:rPr>
          <w:rStyle w:val="StyleBoldUnderline"/>
        </w:rPr>
        <w:t>,¶</w:t>
      </w:r>
      <w:proofErr w:type="gramEnd"/>
      <w:r w:rsidRPr="00AD4501">
        <w:rPr>
          <w:rStyle w:val="StyleBoldUnderline"/>
        </w:rPr>
        <w:t xml:space="preserve"> and although that experience may affect our concept of self</w:t>
      </w:r>
      <w:r w:rsidRPr="00A43591">
        <w:t xml:space="preserve">, </w:t>
      </w:r>
      <w:r w:rsidRPr="00E62A53">
        <w:rPr>
          <w:rStyle w:val="StyleBoldUnderline"/>
          <w:highlight w:val="yellow"/>
        </w:rPr>
        <w:t xml:space="preserve">many females¶ </w:t>
      </w:r>
      <w:r w:rsidRPr="00E62A53">
        <w:rPr>
          <w:rStyle w:val="Emphasis"/>
          <w:highlight w:val="yellow"/>
        </w:rPr>
        <w:t>do not</w:t>
      </w:r>
      <w:r w:rsidRPr="00E62A53">
        <w:rPr>
          <w:rStyle w:val="StyleBoldUnderline"/>
          <w:highlight w:val="yellow"/>
        </w:rPr>
        <w:t xml:space="preserve"> embrace the experience as central to our identity as </w:t>
      </w:r>
      <w:r w:rsidRPr="00E62A53">
        <w:rPr>
          <w:rStyle w:val="Emphasis"/>
          <w:highlight w:val="yellow"/>
        </w:rPr>
        <w:t>individuals</w:t>
      </w:r>
      <w:r w:rsidRPr="00E62A53">
        <w:rPr>
          <w:rStyle w:val="StyleBoldUnderline"/>
          <w:highlight w:val="yellow"/>
        </w:rPr>
        <w:t xml:space="preserve">¶ or as </w:t>
      </w:r>
      <w:r w:rsidRPr="00E62A53">
        <w:rPr>
          <w:rStyle w:val="Emphasis"/>
          <w:highlight w:val="yellow"/>
        </w:rPr>
        <w:t>women</w:t>
      </w:r>
      <w:r w:rsidRPr="00E62A53">
        <w:rPr>
          <w:rStyle w:val="StyleBoldUnderline"/>
          <w:highlight w:val="yellow"/>
        </w:rPr>
        <w:t>.</w:t>
      </w:r>
      <w:r w:rsidRPr="00A43591">
        <w:t xml:space="preserve"> </w:t>
      </w:r>
      <w:r w:rsidRPr="00E62A53">
        <w:rPr>
          <w:rStyle w:val="StyleBoldUnderline"/>
          <w:highlight w:val="yellow"/>
        </w:rPr>
        <w:t xml:space="preserve">To claim that this experience is </w:t>
      </w:r>
      <w:r w:rsidRPr="00E62A53">
        <w:rPr>
          <w:rStyle w:val="Emphasis"/>
          <w:highlight w:val="yellow"/>
        </w:rPr>
        <w:t>core to identity</w:t>
      </w:r>
      <w:r w:rsidRPr="00E62A53">
        <w:rPr>
          <w:rStyle w:val="StyleBoldUnderline"/>
          <w:highlight w:val="yellow"/>
        </w:rPr>
        <w:t xml:space="preserve">¶ as a "woman" is to </w:t>
      </w:r>
      <w:r w:rsidRPr="00E62A53">
        <w:rPr>
          <w:rStyle w:val="Emphasis"/>
          <w:highlight w:val="yellow"/>
        </w:rPr>
        <w:t>exclude some women</w:t>
      </w:r>
      <w:r w:rsidRPr="00AD4501">
        <w:rPr>
          <w:rStyle w:val="StyleBoldUnderline"/>
        </w:rPr>
        <w:t>. 74</w:t>
      </w:r>
    </w:p>
    <w:p w:rsidR="00161ACD" w:rsidRDefault="00161ACD" w:rsidP="00161ACD">
      <w:pPr>
        <w:rPr>
          <w:rStyle w:val="StyleBoldUnderline"/>
        </w:rPr>
      </w:pPr>
    </w:p>
    <w:p w:rsidR="00161ACD" w:rsidRDefault="00161ACD" w:rsidP="00161ACD">
      <w:pPr>
        <w:rPr>
          <w:rStyle w:val="StyleBoldUnderline"/>
        </w:rPr>
      </w:pPr>
    </w:p>
    <w:p w:rsidR="00161ACD" w:rsidRDefault="00161ACD" w:rsidP="00161ACD">
      <w:pPr>
        <w:rPr>
          <w:rStyle w:val="StyleBoldUnderline"/>
        </w:rPr>
      </w:pPr>
    </w:p>
    <w:p w:rsidR="00161ACD" w:rsidRDefault="00161ACD" w:rsidP="00161ACD">
      <w:pPr>
        <w:rPr>
          <w:rStyle w:val="StyleStyleBold12pt"/>
        </w:rPr>
      </w:pPr>
    </w:p>
    <w:p w:rsidR="00161ACD" w:rsidRPr="00071187" w:rsidRDefault="00161ACD" w:rsidP="00161ACD">
      <w:pPr>
        <w:pStyle w:val="Heading4"/>
      </w:pPr>
      <w:r w:rsidRPr="00071187">
        <w:t xml:space="preserve">The second link is age--age allows older women to express non-traditional gender norms and roles—their analysis ignores this.  Their binary thinking loses </w:t>
      </w:r>
      <w:proofErr w:type="gramStart"/>
      <w:r w:rsidRPr="00071187">
        <w:t>it’s</w:t>
      </w:r>
      <w:proofErr w:type="gramEnd"/>
      <w:r w:rsidRPr="00071187">
        <w:t xml:space="preserve"> organizing power during old age—ignoring this is both ageist and reproduces inequalities.</w:t>
      </w:r>
    </w:p>
    <w:p w:rsidR="00161ACD" w:rsidRDefault="00161ACD" w:rsidP="00161ACD"/>
    <w:p w:rsidR="00161ACD" w:rsidRDefault="00161ACD" w:rsidP="00161ACD"/>
    <w:p w:rsidR="00161ACD" w:rsidRDefault="00161ACD" w:rsidP="00161ACD">
      <w:r w:rsidRPr="00ED3566">
        <w:rPr>
          <w:rStyle w:val="StyleStyleBold12pt"/>
        </w:rPr>
        <w:t>Silver, 2003</w:t>
      </w:r>
      <w:r w:rsidRPr="00ED3566">
        <w:t xml:space="preserve"> [Catherine, Brooklyn College and The Graduate Center, Gendered identities in old age: Toward (de)gendering? Journal of Aging Studies</w:t>
      </w:r>
      <w:r w:rsidRPr="00ED3566">
        <w:rPr>
          <w:sz w:val="12"/>
        </w:rPr>
        <w:t xml:space="preserve">¶ </w:t>
      </w:r>
      <w:r w:rsidRPr="00ED3566">
        <w:t>17 (2003) 379–397]</w:t>
      </w:r>
    </w:p>
    <w:p w:rsidR="00161ACD" w:rsidRDefault="00161ACD" w:rsidP="00161ACD"/>
    <w:p w:rsidR="00161ACD" w:rsidRPr="003E254F" w:rsidRDefault="00161ACD" w:rsidP="00161ACD">
      <w:r w:rsidRPr="003E254F">
        <w:t xml:space="preserve">Today, </w:t>
      </w:r>
      <w:r w:rsidRPr="00E62A53">
        <w:rPr>
          <w:rStyle w:val="StyleBoldUnderline"/>
          <w:highlight w:val="yellow"/>
        </w:rPr>
        <w:t>older women</w:t>
      </w:r>
      <w:r w:rsidRPr="00B30D08">
        <w:rPr>
          <w:rStyle w:val="StyleBoldUnderline"/>
        </w:rPr>
        <w:t xml:space="preserve"> have more choices, greater aspirations, and </w:t>
      </w:r>
      <w:r w:rsidRPr="00E62A53">
        <w:rPr>
          <w:rStyle w:val="StyleBoldUnderline"/>
          <w:highlight w:val="yellow"/>
        </w:rPr>
        <w:t>can</w:t>
      </w:r>
      <w:r w:rsidRPr="00B30D08">
        <w:rPr>
          <w:rStyle w:val="StyleBoldUnderline"/>
        </w:rPr>
        <w:t xml:space="preserve"> </w:t>
      </w:r>
      <w:r w:rsidRPr="00B30D08">
        <w:rPr>
          <w:rStyle w:val="Emphasis"/>
        </w:rPr>
        <w:t>more</w:t>
      </w:r>
      <w:r w:rsidRPr="00B30D08">
        <w:rPr>
          <w:rStyle w:val="StyleBoldUnderline"/>
        </w:rPr>
        <w:t xml:space="preserve"> </w:t>
      </w:r>
      <w:r w:rsidRPr="00E62A53">
        <w:rPr>
          <w:rStyle w:val="Emphasis"/>
          <w:highlight w:val="yellow"/>
        </w:rPr>
        <w:t>freely</w:t>
      </w:r>
      <w:r w:rsidRPr="00B30D08">
        <w:rPr>
          <w:rStyle w:val="StyleBoldUnderline"/>
        </w:rPr>
        <w:t xml:space="preserve"> </w:t>
      </w:r>
      <w:r w:rsidRPr="00E62A53">
        <w:rPr>
          <w:rStyle w:val="Emphasis"/>
          <w:highlight w:val="yellow"/>
        </w:rPr>
        <w:t>express</w:t>
      </w:r>
      <w:r w:rsidRPr="00B30D08">
        <w:rPr>
          <w:rStyle w:val="StyleBoldUnderline"/>
        </w:rPr>
        <w:t xml:space="preserve">¶ </w:t>
      </w:r>
      <w:r w:rsidRPr="00E62A53">
        <w:rPr>
          <w:rStyle w:val="StyleBoldUnderline"/>
          <w:highlight w:val="yellow"/>
        </w:rPr>
        <w:t>nontraditional</w:t>
      </w:r>
      <w:r w:rsidRPr="00B30D08">
        <w:rPr>
          <w:rStyle w:val="StyleBoldUnderline"/>
        </w:rPr>
        <w:t xml:space="preserve"> gender and sexual </w:t>
      </w:r>
      <w:r w:rsidRPr="00E62A53">
        <w:rPr>
          <w:rStyle w:val="StyleBoldUnderline"/>
          <w:highlight w:val="yellow"/>
        </w:rPr>
        <w:t>orientations</w:t>
      </w:r>
      <w:r w:rsidRPr="00B30D08">
        <w:rPr>
          <w:rStyle w:val="StyleBoldUnderline"/>
        </w:rPr>
        <w:t>.</w:t>
      </w:r>
      <w:r w:rsidRPr="003E254F">
        <w:t xml:space="preserve">¶ 17¶ </w:t>
      </w:r>
      <w:r w:rsidRPr="00B30D08">
        <w:rPr>
          <w:rStyle w:val="StyleBoldUnderline"/>
        </w:rPr>
        <w:t xml:space="preserve">The </w:t>
      </w:r>
      <w:r w:rsidRPr="00E62A53">
        <w:rPr>
          <w:rStyle w:val="StyleBoldUnderline"/>
          <w:highlight w:val="yellow"/>
        </w:rPr>
        <w:t>leveling of power differential</w:t>
      </w:r>
      <w:r w:rsidRPr="00B30D08">
        <w:rPr>
          <w:rStyle w:val="StyleBoldUnderline"/>
        </w:rPr>
        <w:t xml:space="preserve"> between</w:t>
      </w:r>
      <w:r w:rsidRPr="003E254F">
        <w:t xml:space="preserve">¶ </w:t>
      </w:r>
      <w:r w:rsidRPr="00B30D08">
        <w:rPr>
          <w:rStyle w:val="StyleBoldUnderline"/>
        </w:rPr>
        <w:t>older men and women and the weakening of traditional gender expectations in everyday life</w:t>
      </w:r>
      <w:r w:rsidRPr="003E254F">
        <w:t xml:space="preserve">¶ </w:t>
      </w:r>
      <w:r w:rsidRPr="00E62A53">
        <w:rPr>
          <w:rStyle w:val="StyleBoldUnderline"/>
          <w:highlight w:val="yellow"/>
        </w:rPr>
        <w:t>induce</w:t>
      </w:r>
      <w:r w:rsidRPr="003E254F">
        <w:t xml:space="preserve"> the </w:t>
      </w:r>
      <w:r w:rsidRPr="003E254F">
        <w:lastRenderedPageBreak/>
        <w:t xml:space="preserve">emergence of </w:t>
      </w:r>
      <w:r w:rsidRPr="00E62A53">
        <w:rPr>
          <w:rStyle w:val="Emphasis"/>
          <w:highlight w:val="yellow"/>
        </w:rPr>
        <w:t>new</w:t>
      </w:r>
      <w:r w:rsidRPr="00E62A53">
        <w:rPr>
          <w:rStyle w:val="StyleBoldUnderline"/>
          <w:highlight w:val="yellow"/>
        </w:rPr>
        <w:t xml:space="preserve"> psychological</w:t>
      </w:r>
      <w:r w:rsidRPr="00B30D08">
        <w:rPr>
          <w:rStyle w:val="StyleBoldUnderline"/>
        </w:rPr>
        <w:t xml:space="preserve"> states</w:t>
      </w:r>
      <w:r w:rsidRPr="003E254F">
        <w:t>, namely, tendencies toward the integration¶ of feminine and masculine characteristics¶ (Baltes &amp; Smith, 1999; Jung, 1933)¶ .¶ Gutmann¶ (1987)¶ pointed to the socioevolutionary tendency of gender reversal in old age. Some¶ researchers make a case for helping the integration of feminine and masculine features in old¶ age¶ (LaBouvie-Vief, 1994</w:t>
      </w:r>
      <w:proofErr w:type="gramStart"/>
      <w:r w:rsidRPr="003E254F">
        <w:t>)¶</w:t>
      </w:r>
      <w:proofErr w:type="gramEnd"/>
      <w:r w:rsidRPr="003E254F">
        <w:t xml:space="preserve"> ; still others argue that the personality structure of older persons¶ becomes more androgynous¶ (Erikson et al., 1986, p. 214; Huyck, 1999)¶ . Androgyny as a¶ psychological state that combines aspects of femininity and masculinity affects social and¶ health outcomes, with ‘‘femininity’’ playing an increasingly important role for both males and¶ females. There is a positive relationship between androgyny and qualitative well being¶ (Ruffing-Rahal, Barin, &amp; Combs, 1998</w:t>
      </w:r>
      <w:proofErr w:type="gramStart"/>
      <w:r w:rsidRPr="003E254F">
        <w:t>)¶</w:t>
      </w:r>
      <w:proofErr w:type="gramEnd"/>
      <w:r w:rsidRPr="003E254F">
        <w:t xml:space="preserve"> , as well as between androgyny and productivity¶ among scientists¶ (Rossi, 1985a,b)¶ . A tendency toward androgyny was shown to be especially significant in widowhood¶ (O’Bryant, 1994</w:t>
      </w:r>
      <w:proofErr w:type="gramStart"/>
      <w:r w:rsidRPr="003E254F">
        <w:t>)¶</w:t>
      </w:r>
      <w:proofErr w:type="gramEnd"/>
      <w:r w:rsidRPr="003E254F">
        <w:t xml:space="preserve"> . </w:t>
      </w:r>
      <w:r w:rsidRPr="00533A6C">
        <w:rPr>
          <w:rStyle w:val="StyleBoldUnderline"/>
        </w:rPr>
        <w:t xml:space="preserve">These </w:t>
      </w:r>
      <w:r w:rsidRPr="00E62A53">
        <w:rPr>
          <w:rStyle w:val="StyleBoldUnderline"/>
          <w:highlight w:val="yellow"/>
        </w:rPr>
        <w:t>psychological processes</w:t>
      </w:r>
      <w:r w:rsidRPr="00533A6C">
        <w:rPr>
          <w:rStyle w:val="StyleBoldUnderline"/>
        </w:rPr>
        <w:t xml:space="preserve"> and subjective¶ states </w:t>
      </w:r>
      <w:r w:rsidRPr="00E62A53">
        <w:rPr>
          <w:rStyle w:val="StyleBoldUnderline"/>
          <w:highlight w:val="yellow"/>
        </w:rPr>
        <w:t xml:space="preserve">can be experienced as </w:t>
      </w:r>
      <w:r w:rsidRPr="00E62A53">
        <w:rPr>
          <w:rStyle w:val="Emphasis"/>
          <w:highlight w:val="yellow"/>
        </w:rPr>
        <w:t>arenas</w:t>
      </w:r>
      <w:r w:rsidRPr="00E62A53">
        <w:rPr>
          <w:rStyle w:val="StyleBoldUnderline"/>
          <w:highlight w:val="yellow"/>
        </w:rPr>
        <w:t xml:space="preserve"> </w:t>
      </w:r>
      <w:r w:rsidRPr="00E62A53">
        <w:rPr>
          <w:rStyle w:val="Emphasis"/>
          <w:highlight w:val="yellow"/>
        </w:rPr>
        <w:t>for</w:t>
      </w:r>
      <w:r w:rsidRPr="00E62A53">
        <w:rPr>
          <w:rStyle w:val="StyleBoldUnderline"/>
          <w:highlight w:val="yellow"/>
        </w:rPr>
        <w:t xml:space="preserve"> </w:t>
      </w:r>
      <w:r w:rsidRPr="00E62A53">
        <w:rPr>
          <w:rStyle w:val="Emphasis"/>
          <w:highlight w:val="yellow"/>
        </w:rPr>
        <w:t>creativity</w:t>
      </w:r>
      <w:r w:rsidRPr="00E62A53">
        <w:rPr>
          <w:rStyle w:val="StyleBoldUnderline"/>
          <w:highlight w:val="yellow"/>
        </w:rPr>
        <w:t xml:space="preserve">, and </w:t>
      </w:r>
      <w:r w:rsidRPr="00E62A53">
        <w:rPr>
          <w:rStyle w:val="Emphasis"/>
          <w:highlight w:val="yellow"/>
        </w:rPr>
        <w:t>forms of liberation</w:t>
      </w:r>
      <w:r w:rsidRPr="00E62A53">
        <w:rPr>
          <w:rStyle w:val="StyleBoldUnderline"/>
          <w:highlight w:val="yellow"/>
        </w:rPr>
        <w:t xml:space="preserve"> from the restrictive¶ definitions of womanhood and femininity</w:t>
      </w:r>
      <w:r w:rsidRPr="003E254F">
        <w:t xml:space="preserve"> (Pearsall, 1977</w:t>
      </w:r>
      <w:proofErr w:type="gramStart"/>
      <w:r w:rsidRPr="003E254F">
        <w:t>,¶</w:t>
      </w:r>
      <w:proofErr w:type="gramEnd"/>
      <w:r w:rsidRPr="003E254F">
        <w:t xml:space="preserve"> Myerhoff, 1978¶ ).</w:t>
      </w:r>
    </w:p>
    <w:p w:rsidR="00161ACD" w:rsidRPr="003E254F" w:rsidRDefault="00161ACD" w:rsidP="00161ACD"/>
    <w:p w:rsidR="00161ACD" w:rsidRPr="00BB19DB" w:rsidRDefault="00161ACD" w:rsidP="00161ACD">
      <w:pPr>
        <w:rPr>
          <w:rStyle w:val="StyleBoldUnderline"/>
        </w:rPr>
      </w:pPr>
      <w:r w:rsidRPr="00BF4340">
        <w:rPr>
          <w:rStyle w:val="StyleBoldUnderline"/>
        </w:rPr>
        <w:t>Feminists who advocate a (</w:t>
      </w:r>
      <w:r w:rsidRPr="00E62A53">
        <w:rPr>
          <w:rStyle w:val="StyleBoldUnderline"/>
          <w:highlight w:val="yellow"/>
        </w:rPr>
        <w:t>de)gendering</w:t>
      </w:r>
      <w:r w:rsidRPr="00BF4340">
        <w:rPr>
          <w:rStyle w:val="StyleBoldUnderline"/>
        </w:rPr>
        <w:t xml:space="preserve"> process </w:t>
      </w:r>
      <w:r w:rsidRPr="00E62A53">
        <w:rPr>
          <w:rStyle w:val="StyleBoldUnderline"/>
          <w:highlight w:val="yellow"/>
        </w:rPr>
        <w:t xml:space="preserve">stress the need to </w:t>
      </w:r>
      <w:r w:rsidRPr="00E62A53">
        <w:rPr>
          <w:rStyle w:val="Emphasis"/>
          <w:highlight w:val="yellow"/>
        </w:rPr>
        <w:t>deconstruct</w:t>
      </w:r>
      <w:r w:rsidRPr="00BF4340">
        <w:rPr>
          <w:rStyle w:val="StyleBoldUnderline"/>
        </w:rPr>
        <w:t xml:space="preserve"> modes of¶ </w:t>
      </w:r>
      <w:r w:rsidRPr="00E62A53">
        <w:rPr>
          <w:rStyle w:val="StyleBoldUnderline"/>
          <w:highlight w:val="yellow"/>
        </w:rPr>
        <w:t>binary thinking</w:t>
      </w:r>
      <w:r w:rsidRPr="003E254F">
        <w:t xml:space="preserve"> and their expression </w:t>
      </w:r>
      <w:r w:rsidRPr="00BF4340">
        <w:rPr>
          <w:rStyle w:val="StyleBoldUnderline"/>
        </w:rPr>
        <w:t xml:space="preserve">in institutional settings </w:t>
      </w:r>
      <w:r w:rsidRPr="00E62A53">
        <w:rPr>
          <w:rStyle w:val="StyleBoldUnderline"/>
          <w:highlight w:val="yellow"/>
        </w:rPr>
        <w:t xml:space="preserve">and ideologies that </w:t>
      </w:r>
      <w:r w:rsidRPr="00E62A53">
        <w:rPr>
          <w:rStyle w:val="Emphasis"/>
          <w:highlight w:val="yellow"/>
        </w:rPr>
        <w:t>reproduce</w:t>
      </w:r>
      <w:r w:rsidRPr="00E62A53">
        <w:rPr>
          <w:rStyle w:val="StyleBoldUnderline"/>
          <w:highlight w:val="yellow"/>
        </w:rPr>
        <w:t xml:space="preserve">¶ </w:t>
      </w:r>
      <w:r w:rsidRPr="00E62A53">
        <w:rPr>
          <w:rStyle w:val="Emphasis"/>
          <w:highlight w:val="yellow"/>
        </w:rPr>
        <w:t>inequalities</w:t>
      </w:r>
      <w:r w:rsidRPr="003E254F">
        <w:t xml:space="preserve">. </w:t>
      </w:r>
      <w:r w:rsidRPr="00BF4340">
        <w:rPr>
          <w:rStyle w:val="StyleBoldUnderline"/>
        </w:rPr>
        <w:t>The question remains</w:t>
      </w:r>
      <w:r w:rsidRPr="003E254F">
        <w:t xml:space="preserve">: </w:t>
      </w:r>
      <w:r w:rsidRPr="00BF4340">
        <w:rPr>
          <w:rStyle w:val="StyleBoldUnderline"/>
        </w:rPr>
        <w:t>How do individuals change modes of thinking about¶ gender</w:t>
      </w:r>
      <w:r w:rsidRPr="003E254F">
        <w:t xml:space="preserve"> </w:t>
      </w:r>
      <w:r w:rsidRPr="00BF4340">
        <w:rPr>
          <w:rStyle w:val="StyleBoldUnderline"/>
        </w:rPr>
        <w:t xml:space="preserve">in social settings </w:t>
      </w:r>
      <w:r w:rsidRPr="003E254F">
        <w:t xml:space="preserve">that are </w:t>
      </w:r>
      <w:r w:rsidRPr="00BF4340">
        <w:rPr>
          <w:rStyle w:val="StyleBoldUnderline"/>
        </w:rPr>
        <w:t xml:space="preserve">built on </w:t>
      </w:r>
      <w:r w:rsidRPr="00BF4340">
        <w:rPr>
          <w:rStyle w:val="Emphasis"/>
        </w:rPr>
        <w:t>binary</w:t>
      </w:r>
      <w:r w:rsidRPr="00BF4340">
        <w:rPr>
          <w:rStyle w:val="StyleBoldUnderline"/>
        </w:rPr>
        <w:t xml:space="preserve"> conceptions</w:t>
      </w:r>
      <w:r w:rsidRPr="003E254F">
        <w:t xml:space="preserve">? </w:t>
      </w:r>
      <w:r w:rsidRPr="00BF4340">
        <w:rPr>
          <w:rStyle w:val="StyleBoldUnderline"/>
        </w:rPr>
        <w:t xml:space="preserve">The analysis of the third and¶ fourth ages is provocative because it provides an arena to explore what happens to the self¶ </w:t>
      </w:r>
      <w:r w:rsidRPr="00E62A53">
        <w:rPr>
          <w:rStyle w:val="StyleBoldUnderline"/>
          <w:highlight w:val="yellow"/>
        </w:rPr>
        <w:t xml:space="preserve">when </w:t>
      </w:r>
      <w:r w:rsidRPr="00E62A53">
        <w:rPr>
          <w:rStyle w:val="Emphasis"/>
          <w:highlight w:val="yellow"/>
        </w:rPr>
        <w:t>binary</w:t>
      </w:r>
      <w:r w:rsidRPr="00E62A53">
        <w:rPr>
          <w:rStyle w:val="StyleBoldUnderline"/>
          <w:highlight w:val="yellow"/>
        </w:rPr>
        <w:t xml:space="preserve"> </w:t>
      </w:r>
      <w:r w:rsidRPr="00E62A53">
        <w:rPr>
          <w:rStyle w:val="Emphasis"/>
          <w:highlight w:val="yellow"/>
        </w:rPr>
        <w:t>thinking</w:t>
      </w:r>
      <w:r w:rsidRPr="00E62A53">
        <w:rPr>
          <w:rStyle w:val="StyleBoldUnderline"/>
          <w:highlight w:val="yellow"/>
        </w:rPr>
        <w:t xml:space="preserve"> and </w:t>
      </w:r>
      <w:r w:rsidRPr="00E62A53">
        <w:rPr>
          <w:rStyle w:val="Emphasis"/>
          <w:highlight w:val="yellow"/>
        </w:rPr>
        <w:t>gender</w:t>
      </w:r>
      <w:r w:rsidRPr="00E62A53">
        <w:rPr>
          <w:rStyle w:val="StyleBoldUnderline"/>
          <w:highlight w:val="yellow"/>
        </w:rPr>
        <w:t xml:space="preserve"> </w:t>
      </w:r>
      <w:r w:rsidRPr="00E62A53">
        <w:rPr>
          <w:rStyle w:val="Emphasis"/>
          <w:highlight w:val="yellow"/>
        </w:rPr>
        <w:t>categorization</w:t>
      </w:r>
      <w:r w:rsidRPr="00E62A53">
        <w:rPr>
          <w:rStyle w:val="StyleBoldUnderline"/>
          <w:highlight w:val="yellow"/>
        </w:rPr>
        <w:t xml:space="preserve"> </w:t>
      </w:r>
      <w:r w:rsidRPr="00E62A53">
        <w:rPr>
          <w:rStyle w:val="Emphasis"/>
          <w:highlight w:val="yellow"/>
        </w:rPr>
        <w:t>lose</w:t>
      </w:r>
      <w:r w:rsidRPr="00E62A53">
        <w:rPr>
          <w:rStyle w:val="StyleBoldUnderline"/>
          <w:highlight w:val="yellow"/>
        </w:rPr>
        <w:t xml:space="preserve"> </w:t>
      </w:r>
      <w:r w:rsidRPr="00E62A53">
        <w:rPr>
          <w:rStyle w:val="Emphasis"/>
          <w:highlight w:val="yellow"/>
        </w:rPr>
        <w:t>their</w:t>
      </w:r>
      <w:r w:rsidRPr="00E62A53">
        <w:rPr>
          <w:rStyle w:val="StyleBoldUnderline"/>
          <w:highlight w:val="yellow"/>
        </w:rPr>
        <w:t xml:space="preserve"> </w:t>
      </w:r>
      <w:r w:rsidRPr="00E62A53">
        <w:rPr>
          <w:rStyle w:val="Emphasis"/>
          <w:highlight w:val="yellow"/>
        </w:rPr>
        <w:t>organizing</w:t>
      </w:r>
      <w:r w:rsidRPr="00E62A53">
        <w:rPr>
          <w:rStyle w:val="StyleBoldUnderline"/>
          <w:highlight w:val="yellow"/>
        </w:rPr>
        <w:t xml:space="preserve"> </w:t>
      </w:r>
      <w:r w:rsidRPr="00E62A53">
        <w:rPr>
          <w:rStyle w:val="Emphasis"/>
          <w:highlight w:val="yellow"/>
        </w:rPr>
        <w:t>power</w:t>
      </w:r>
      <w:r w:rsidRPr="00E62A53">
        <w:rPr>
          <w:highlight w:val="yellow"/>
        </w:rPr>
        <w:t xml:space="preserve">. </w:t>
      </w:r>
      <w:r w:rsidRPr="00E62A53">
        <w:rPr>
          <w:rStyle w:val="Emphasis"/>
          <w:highlight w:val="yellow"/>
        </w:rPr>
        <w:t>Rese</w:t>
      </w:r>
      <w:r w:rsidRPr="00D776AF">
        <w:rPr>
          <w:rStyle w:val="Emphasis"/>
        </w:rPr>
        <w:t>arch</w:t>
      </w:r>
      <w:r w:rsidRPr="003E254F">
        <w:t xml:space="preserve">¶ findings </w:t>
      </w:r>
      <w:r w:rsidRPr="00E62A53">
        <w:rPr>
          <w:rStyle w:val="Emphasis"/>
          <w:highlight w:val="yellow"/>
        </w:rPr>
        <w:t>point to the greater gender flexibility and changeability of the se</w:t>
      </w:r>
      <w:r w:rsidRPr="00D776AF">
        <w:rPr>
          <w:rStyle w:val="Emphasis"/>
        </w:rPr>
        <w:t>lf</w:t>
      </w:r>
      <w:r w:rsidRPr="003E254F">
        <w:t xml:space="preserve">. The </w:t>
      </w:r>
      <w:r w:rsidRPr="00E62A53">
        <w:rPr>
          <w:rStyle w:val="StyleBoldUnderline"/>
          <w:highlight w:val="yellow"/>
        </w:rPr>
        <w:t>lifting</w:t>
      </w:r>
      <w:r w:rsidRPr="00D776AF">
        <w:rPr>
          <w:rStyle w:val="StyleBoldUnderline"/>
        </w:rPr>
        <w:t xml:space="preserve"> of</w:t>
      </w:r>
      <w:r w:rsidRPr="003E254F">
        <w:t xml:space="preserve">¶ normative </w:t>
      </w:r>
      <w:r w:rsidRPr="00E62A53">
        <w:rPr>
          <w:rStyle w:val="StyleBoldUnderline"/>
          <w:highlight w:val="yellow"/>
        </w:rPr>
        <w:t>expectations</w:t>
      </w:r>
      <w:r w:rsidRPr="003E254F">
        <w:t xml:space="preserve">, rolessness¶ (Erikson et al., 1986)¶ , </w:t>
      </w:r>
      <w:r w:rsidRPr="00D776AF">
        <w:rPr>
          <w:rStyle w:val="StyleBoldUnderline"/>
        </w:rPr>
        <w:t>role reversal</w:t>
      </w:r>
      <w:r w:rsidRPr="003E254F">
        <w:t xml:space="preserve">¶ (Gutmann, 1987)¶ , </w:t>
      </w:r>
      <w:r w:rsidRPr="00D776AF">
        <w:rPr>
          <w:rStyle w:val="StyleBoldUnderline"/>
        </w:rPr>
        <w:t>and</w:t>
      </w:r>
      <w:r w:rsidRPr="003E254F">
        <w:t xml:space="preserve">¶ </w:t>
      </w:r>
      <w:r w:rsidRPr="00D776AF">
        <w:rPr>
          <w:rStyle w:val="StyleBoldUnderline"/>
        </w:rPr>
        <w:t>biopsychological changes</w:t>
      </w:r>
      <w:r w:rsidRPr="003E254F">
        <w:t xml:space="preserve">¶ (Rossi, 1985a,b)¶ </w:t>
      </w:r>
      <w:r w:rsidRPr="00D776AF">
        <w:rPr>
          <w:rStyle w:val="StyleBoldUnderline"/>
        </w:rPr>
        <w:t>create a paradoxical situation</w:t>
      </w:r>
      <w:r w:rsidRPr="003E254F">
        <w:t xml:space="preserve"> </w:t>
      </w:r>
      <w:r w:rsidRPr="00D776AF">
        <w:rPr>
          <w:rStyle w:val="StyleBoldUnderline"/>
        </w:rPr>
        <w:t xml:space="preserve">that </w:t>
      </w:r>
      <w:r w:rsidRPr="00E62A53">
        <w:rPr>
          <w:rStyle w:val="StyleBoldUnderline"/>
          <w:highlight w:val="yellow"/>
        </w:rPr>
        <w:t>presents older</w:t>
      </w:r>
      <w:r w:rsidRPr="00E62A53">
        <w:rPr>
          <w:highlight w:val="yellow"/>
        </w:rPr>
        <w:t xml:space="preserve">¶ </w:t>
      </w:r>
      <w:r w:rsidRPr="00E62A53">
        <w:rPr>
          <w:rStyle w:val="StyleBoldUnderline"/>
          <w:highlight w:val="yellow"/>
        </w:rPr>
        <w:t>individuals</w:t>
      </w:r>
      <w:r w:rsidRPr="00E62A53">
        <w:rPr>
          <w:highlight w:val="yellow"/>
        </w:rPr>
        <w:t xml:space="preserve"> </w:t>
      </w:r>
      <w:r w:rsidRPr="00E62A53">
        <w:rPr>
          <w:rStyle w:val="StyleBoldUnderline"/>
          <w:highlight w:val="yellow"/>
        </w:rPr>
        <w:t>wi</w:t>
      </w:r>
      <w:r w:rsidRPr="00D776AF">
        <w:rPr>
          <w:rStyle w:val="StyleBoldUnderline"/>
        </w:rPr>
        <w:t>th</w:t>
      </w:r>
      <w:r w:rsidRPr="003E254F">
        <w:t xml:space="preserve"> greater economic dependence and at the same time </w:t>
      </w:r>
      <w:r w:rsidRPr="00E62A53">
        <w:rPr>
          <w:rStyle w:val="StyleBoldUnderline"/>
          <w:highlight w:val="yellow"/>
        </w:rPr>
        <w:t>greater</w:t>
      </w:r>
      <w:r w:rsidRPr="003E254F">
        <w:t xml:space="preserve"> normative¶ </w:t>
      </w:r>
      <w:r w:rsidRPr="00E62A53">
        <w:rPr>
          <w:rStyle w:val="StyleBoldUnderline"/>
          <w:highlight w:val="yellow"/>
        </w:rPr>
        <w:t>freedom</w:t>
      </w:r>
      <w:r w:rsidRPr="00D776AF">
        <w:rPr>
          <w:rStyle w:val="StyleBoldUnderline"/>
        </w:rPr>
        <w:t xml:space="preserve"> from institutional frames</w:t>
      </w:r>
      <w:r w:rsidRPr="003E254F">
        <w:t xml:space="preserve">¶ (Bauman &amp; May, 2001)¶ . </w:t>
      </w:r>
      <w:r w:rsidRPr="00E62A53">
        <w:t>Feminist</w:t>
      </w:r>
      <w:r w:rsidRPr="003E254F">
        <w:t xml:space="preserve"> theorists have argued for¶ the need to create gender equality and diminish gender differences. However, despite¶ socioeconomic changes and women’s achievements in the labor force over the last decades,¶ the social order is still constructed and reproduced around gender differences defined as¶ ‘‘natural.’’ Postmodern </w:t>
      </w:r>
      <w:r w:rsidRPr="00BB19DB">
        <w:rPr>
          <w:rStyle w:val="StyleBoldUnderline"/>
        </w:rPr>
        <w:t>feminist theorists have challenged the binary construction of a¶ gendered self</w:t>
      </w:r>
      <w:r w:rsidRPr="003E254F">
        <w:t xml:space="preserve"> and have stressed the need for analyzing and understanding multiplicities¶ and intersectionality of features of the self. However, </w:t>
      </w:r>
      <w:r w:rsidRPr="00BB19DB">
        <w:rPr>
          <w:rStyle w:val="StyleBoldUnderline"/>
        </w:rPr>
        <w:t xml:space="preserve">their theoretical construct has </w:t>
      </w:r>
      <w:r w:rsidRPr="00BB19DB">
        <w:rPr>
          <w:rStyle w:val="Emphasis"/>
        </w:rPr>
        <w:t>yet</w:t>
      </w:r>
      <w:r w:rsidRPr="00BB19DB">
        <w:rPr>
          <w:rStyle w:val="StyleBoldUnderline"/>
        </w:rPr>
        <w:t xml:space="preserve"> </w:t>
      </w:r>
      <w:r w:rsidRPr="00BB19DB">
        <w:rPr>
          <w:rStyle w:val="Emphasis"/>
        </w:rPr>
        <w:t>to</w:t>
      </w:r>
      <w:r w:rsidRPr="00BB19DB">
        <w:rPr>
          <w:rStyle w:val="StyleBoldUnderline"/>
        </w:rPr>
        <w:t xml:space="preserve">¶ </w:t>
      </w:r>
      <w:r w:rsidRPr="00BB19DB">
        <w:rPr>
          <w:rStyle w:val="Emphasis"/>
        </w:rPr>
        <w:t>include</w:t>
      </w:r>
      <w:r w:rsidRPr="00BB19DB">
        <w:rPr>
          <w:rStyle w:val="StyleBoldUnderline"/>
        </w:rPr>
        <w:t xml:space="preserve"> an epistemology of age.</w:t>
      </w:r>
    </w:p>
    <w:p w:rsidR="00161ACD" w:rsidRDefault="00161ACD" w:rsidP="00161ACD"/>
    <w:p w:rsidR="00161ACD" w:rsidRPr="00071187" w:rsidRDefault="00161ACD" w:rsidP="00161ACD">
      <w:pPr>
        <w:pStyle w:val="Heading4"/>
      </w:pPr>
      <w:r w:rsidRPr="00071187">
        <w:t>The third link is bisexual invisibility—women who still or also enjoy sex with men cannot express themselves or their experiences—they would be rejected by the aff—this causes bisexual people to internalize the same sort of repressive structure they criticize</w:t>
      </w:r>
    </w:p>
    <w:p w:rsidR="00161ACD" w:rsidRDefault="00161ACD" w:rsidP="00161ACD">
      <w:pPr>
        <w:rPr>
          <w:rFonts w:ascii="Times New Roman" w:eastAsia="Times New Roman" w:hAnsi="Times New Roman" w:cs="Times New Roman"/>
        </w:rPr>
      </w:pPr>
    </w:p>
    <w:p w:rsidR="00161ACD" w:rsidRDefault="00161ACD" w:rsidP="00161ACD">
      <w:r w:rsidRPr="00965B9B">
        <w:rPr>
          <w:rStyle w:val="StyleStyleBold12pt"/>
        </w:rPr>
        <w:t>Hartman, 2006</w:t>
      </w:r>
      <w:r>
        <w:t xml:space="preserve"> [</w:t>
      </w:r>
      <w:r w:rsidRPr="001572A1">
        <w:t>Julie E. Hartman</w:t>
      </w:r>
      <w:r>
        <w:t>, PHD gender and sociology,</w:t>
      </w:r>
      <w:r w:rsidRPr="001572A1">
        <w:t xml:space="preserve"> (2006) Another Kind of </w:t>
      </w:r>
      <w:r w:rsidRPr="001572A1">
        <w:rPr>
          <w:sz w:val="12"/>
        </w:rPr>
        <w:t xml:space="preserve">¶ </w:t>
      </w:r>
      <w:r w:rsidRPr="001572A1">
        <w:t>“</w:t>
      </w:r>
      <w:r w:rsidRPr="001572A1">
        <w:rPr>
          <w:sz w:val="12"/>
        </w:rPr>
        <w:t xml:space="preserve">¶ </w:t>
      </w:r>
      <w:r w:rsidRPr="001572A1">
        <w:t>Chilly Climate</w:t>
      </w:r>
      <w:r w:rsidRPr="001572A1">
        <w:rPr>
          <w:sz w:val="12"/>
        </w:rPr>
        <w:t xml:space="preserve">¶ </w:t>
      </w:r>
      <w:r w:rsidRPr="001572A1">
        <w:t>”</w:t>
      </w:r>
      <w:r w:rsidRPr="001572A1">
        <w:rPr>
          <w:sz w:val="12"/>
        </w:rPr>
        <w:t xml:space="preserve">¶ </w:t>
      </w:r>
      <w:r w:rsidRPr="001572A1">
        <w:t>, Journal</w:t>
      </w:r>
      <w:r w:rsidRPr="001572A1">
        <w:rPr>
          <w:sz w:val="12"/>
        </w:rPr>
        <w:t xml:space="preserve">¶ </w:t>
      </w:r>
      <w:r w:rsidRPr="001572A1">
        <w:t>of Bisexuality, 5:4, 61-76</w:t>
      </w:r>
      <w:r>
        <w:t>]</w:t>
      </w:r>
    </w:p>
    <w:p w:rsidR="00161ACD" w:rsidRDefault="00161ACD" w:rsidP="00161ACD">
      <w:pPr>
        <w:rPr>
          <w:rFonts w:ascii="Times New Roman" w:eastAsia="Times New Roman" w:hAnsi="Times New Roman" w:cs="Times New Roman"/>
        </w:rPr>
      </w:pPr>
    </w:p>
    <w:p w:rsidR="00161ACD" w:rsidRPr="00FE547F" w:rsidRDefault="00161ACD" w:rsidP="00161ACD">
      <w:r w:rsidRPr="00FE547F">
        <w:t>The “Chilly Climate” of Discrimination from the LBGT Community</w:t>
      </w:r>
      <w:r w:rsidRPr="00FE547F">
        <w:rPr>
          <w:sz w:val="12"/>
        </w:rPr>
        <w:t xml:space="preserve">¶ </w:t>
      </w:r>
      <w:r w:rsidRPr="00FE547F">
        <w:t xml:space="preserve">One reason the climate is chilly is because </w:t>
      </w:r>
      <w:r w:rsidRPr="00E62A53">
        <w:rPr>
          <w:rStyle w:val="StyleBoldUnderline"/>
          <w:highlight w:val="yellow"/>
        </w:rPr>
        <w:t>bisexuals have trouble “fitting¶ in” with</w:t>
      </w:r>
      <w:r w:rsidRPr="003226B9">
        <w:rPr>
          <w:rStyle w:val="StyleBoldUnderline"/>
        </w:rPr>
        <w:t xml:space="preserve"> both </w:t>
      </w:r>
      <w:r w:rsidRPr="00E62A53">
        <w:rPr>
          <w:rStyle w:val="StyleBoldUnderline"/>
          <w:highlight w:val="yellow"/>
        </w:rPr>
        <w:t>the</w:t>
      </w:r>
      <w:r w:rsidRPr="003226B9">
        <w:rPr>
          <w:rStyle w:val="StyleBoldUnderline"/>
        </w:rPr>
        <w:t xml:space="preserve"> </w:t>
      </w:r>
      <w:r w:rsidRPr="00E62A53">
        <w:rPr>
          <w:rStyle w:val="StyleBoldUnderline"/>
          <w:highlight w:val="yellow"/>
        </w:rPr>
        <w:t>larger LBGT community</w:t>
      </w:r>
      <w:r w:rsidRPr="003226B9">
        <w:rPr>
          <w:rStyle w:val="StyleBoldUnderline"/>
        </w:rPr>
        <w:t xml:space="preserve"> </w:t>
      </w:r>
      <w:r w:rsidRPr="00E62A53">
        <w:rPr>
          <w:rStyle w:val="StyleBoldUnderline"/>
          <w:highlight w:val="yellow"/>
        </w:rPr>
        <w:t>and</w:t>
      </w:r>
      <w:r w:rsidRPr="003226B9">
        <w:rPr>
          <w:rStyle w:val="StyleBoldUnderline"/>
        </w:rPr>
        <w:t xml:space="preserve"> more </w:t>
      </w:r>
      <w:r w:rsidRPr="00E62A53">
        <w:rPr>
          <w:rStyle w:val="StyleBoldUnderline"/>
          <w:highlight w:val="yellow"/>
        </w:rPr>
        <w:t>specifically</w:t>
      </w:r>
      <w:r w:rsidRPr="003226B9">
        <w:rPr>
          <w:rStyle w:val="StyleBoldUnderline"/>
        </w:rPr>
        <w:t xml:space="preserve"> </w:t>
      </w:r>
      <w:r w:rsidRPr="00E62A53">
        <w:rPr>
          <w:rStyle w:val="StyleBoldUnderline"/>
          <w:highlight w:val="yellow"/>
        </w:rPr>
        <w:t>the lesbian¶ community</w:t>
      </w:r>
      <w:r w:rsidRPr="00FE547F">
        <w:t>. Tensions between bisexual women and lesbians will be discussed</w:t>
      </w:r>
      <w:r w:rsidRPr="00FE547F">
        <w:rPr>
          <w:sz w:val="12"/>
        </w:rPr>
        <w:t xml:space="preserve">¶ </w:t>
      </w:r>
      <w:r w:rsidRPr="00FE547F">
        <w:t>later in this paper, but first I shall focus on the ways bisexual women experi</w:t>
      </w:r>
      <w:r w:rsidRPr="00FE547F">
        <w:rPr>
          <w:sz w:val="12"/>
        </w:rPr>
        <w:t xml:space="preserve">¶ </w:t>
      </w:r>
      <w:r w:rsidRPr="00FE547F">
        <w:t>-</w:t>
      </w:r>
      <w:r w:rsidRPr="00FE547F">
        <w:rPr>
          <w:sz w:val="12"/>
        </w:rPr>
        <w:t xml:space="preserve">¶ </w:t>
      </w:r>
      <w:r w:rsidRPr="00FE547F">
        <w:t>ence not fitting in within the broader LBGT community.</w:t>
      </w:r>
      <w:r w:rsidRPr="00FE547F">
        <w:rPr>
          <w:sz w:val="12"/>
        </w:rPr>
        <w:t xml:space="preserve">¶ </w:t>
      </w:r>
      <w:r w:rsidRPr="00FE547F">
        <w:t>Over the course of the past few decades many groups within the LBGT</w:t>
      </w:r>
      <w:r w:rsidRPr="00FE547F">
        <w:rPr>
          <w:sz w:val="12"/>
        </w:rPr>
        <w:t xml:space="preserve">¶ </w:t>
      </w:r>
      <w:r w:rsidRPr="00FE547F">
        <w:lastRenderedPageBreak/>
        <w:t>community have changed their names to include the words bisexual and</w:t>
      </w:r>
      <w:r w:rsidRPr="00FE547F">
        <w:rPr>
          <w:sz w:val="12"/>
        </w:rPr>
        <w:t xml:space="preserve">¶ </w:t>
      </w:r>
      <w:r w:rsidRPr="00FE547F">
        <w:t>transgender. One might think that with the inclusion of bisexuals in most</w:t>
      </w:r>
      <w:r w:rsidRPr="00FE547F">
        <w:rPr>
          <w:sz w:val="12"/>
        </w:rPr>
        <w:t xml:space="preserve">¶ </w:t>
      </w:r>
      <w:r w:rsidRPr="00FE547F">
        <w:t>group names, bi-identified people would feel that the LBGT community was</w:t>
      </w:r>
      <w:r w:rsidRPr="00FE547F">
        <w:rPr>
          <w:sz w:val="12"/>
        </w:rPr>
        <w:t xml:space="preserve">¶ </w:t>
      </w:r>
      <w:r w:rsidRPr="00FE547F">
        <w:t xml:space="preserve">their own, yet that is not how the women I spoke with felt. </w:t>
      </w:r>
      <w:r w:rsidRPr="00E62A53">
        <w:rPr>
          <w:rStyle w:val="StyleBoldUnderline"/>
          <w:highlight w:val="yellow"/>
        </w:rPr>
        <w:t>The problem seems¶ no</w:t>
      </w:r>
      <w:r w:rsidRPr="003226B9">
        <w:rPr>
          <w:rStyle w:val="StyleBoldUnderline"/>
        </w:rPr>
        <w:t xml:space="preserve"> </w:t>
      </w:r>
      <w:r w:rsidRPr="00E62A53">
        <w:rPr>
          <w:rStyle w:val="StyleBoldUnderline"/>
          <w:highlight w:val="yellow"/>
        </w:rPr>
        <w:t xml:space="preserve">longer to be </w:t>
      </w:r>
      <w:r w:rsidRPr="00E62A53">
        <w:rPr>
          <w:rStyle w:val="Emphasis"/>
          <w:highlight w:val="yellow"/>
        </w:rPr>
        <w:t>overt</w:t>
      </w:r>
      <w:r w:rsidRPr="00FE547F">
        <w:t xml:space="preserve"> (most groups do not actively discriminate against bisex</w:t>
      </w:r>
      <w:r w:rsidRPr="00FE547F">
        <w:rPr>
          <w:sz w:val="12"/>
        </w:rPr>
        <w:t xml:space="preserve">¶ </w:t>
      </w:r>
      <w:r w:rsidRPr="00FE547F">
        <w:t>-</w:t>
      </w:r>
      <w:r w:rsidRPr="00FE547F">
        <w:rPr>
          <w:sz w:val="12"/>
        </w:rPr>
        <w:t xml:space="preserve">¶ </w:t>
      </w:r>
      <w:r w:rsidRPr="00FE547F">
        <w:t xml:space="preserve">ual people) </w:t>
      </w:r>
      <w:r w:rsidRPr="003226B9">
        <w:rPr>
          <w:rStyle w:val="StyleBoldUnderline"/>
        </w:rPr>
        <w:t xml:space="preserve">but rather in </w:t>
      </w:r>
      <w:r w:rsidRPr="00E62A53">
        <w:rPr>
          <w:rStyle w:val="StyleBoldUnderline"/>
          <w:highlight w:val="yellow"/>
        </w:rPr>
        <w:t>hidden ways</w:t>
      </w:r>
      <w:r w:rsidRPr="003226B9">
        <w:rPr>
          <w:rStyle w:val="StyleBoldUnderline"/>
        </w:rPr>
        <w:t xml:space="preserve"> that </w:t>
      </w:r>
      <w:r w:rsidRPr="00E62A53">
        <w:rPr>
          <w:rStyle w:val="StyleBoldUnderline"/>
          <w:highlight w:val="yellow"/>
        </w:rPr>
        <w:t>make for a “chilly climate” for bi¶ -¶ sexuals</w:t>
      </w:r>
      <w:r w:rsidRPr="003226B9">
        <w:rPr>
          <w:rStyle w:val="StyleBoldUnderline"/>
        </w:rPr>
        <w:t>.</w:t>
      </w:r>
      <w:r w:rsidRPr="00FE547F">
        <w:t xml:space="preserve"> </w:t>
      </w:r>
      <w:r w:rsidRPr="003226B9">
        <w:rPr>
          <w:rStyle w:val="StyleBoldUnderline"/>
        </w:rPr>
        <w:t>One</w:t>
      </w:r>
      <w:r w:rsidRPr="00FE547F">
        <w:t xml:space="preserve"> of the </w:t>
      </w:r>
      <w:r w:rsidRPr="003226B9">
        <w:rPr>
          <w:rStyle w:val="StyleBoldUnderline"/>
        </w:rPr>
        <w:t>women</w:t>
      </w:r>
      <w:r w:rsidRPr="00FE547F">
        <w:t xml:space="preserve"> I spoke with </w:t>
      </w:r>
      <w:r w:rsidRPr="003226B9">
        <w:rPr>
          <w:rStyle w:val="StyleBoldUnderline"/>
        </w:rPr>
        <w:t>compared</w:t>
      </w:r>
      <w:r w:rsidRPr="00FE547F">
        <w:t xml:space="preserve"> the situation of</w:t>
      </w:r>
      <w:r w:rsidRPr="00FE547F">
        <w:rPr>
          <w:sz w:val="12"/>
        </w:rPr>
        <w:t xml:space="preserve">¶ </w:t>
      </w:r>
      <w:r w:rsidRPr="003226B9">
        <w:rPr>
          <w:rStyle w:val="StyleBoldUnderline"/>
        </w:rPr>
        <w:t>discrimination against bisexuals within the LBGT community to the way race¶ is in Americ</w:t>
      </w:r>
      <w:r w:rsidRPr="00FE547F">
        <w:t xml:space="preserve">a. </w:t>
      </w:r>
      <w:r w:rsidRPr="00E532AD">
        <w:rPr>
          <w:rStyle w:val="StyleBoldUnderline"/>
        </w:rPr>
        <w:t>As Emily, a 20-year-old student</w:t>
      </w:r>
      <w:r w:rsidRPr="00FE547F">
        <w:t>, explained to me:</w:t>
      </w:r>
    </w:p>
    <w:p w:rsidR="00161ACD" w:rsidRPr="00A60BAC" w:rsidRDefault="00161ACD" w:rsidP="00161ACD">
      <w:pPr>
        <w:rPr>
          <w:rFonts w:ascii="Times New Roman" w:eastAsia="Times New Roman" w:hAnsi="Times New Roman" w:cs="Times New Roman"/>
          <w:sz w:val="20"/>
          <w:szCs w:val="20"/>
        </w:rPr>
      </w:pPr>
      <w:r w:rsidRPr="00A60BAC">
        <w:rPr>
          <w:rFonts w:ascii="Times New Roman" w:eastAsia="Times New Roman" w:hAnsi="Times New Roman" w:cs="Times New Roman"/>
          <w:sz w:val="20"/>
          <w:szCs w:val="20"/>
        </w:rPr>
        <w:t xml:space="preserve"> </w:t>
      </w:r>
    </w:p>
    <w:p w:rsidR="00161ACD" w:rsidRPr="00E532AD" w:rsidRDefault="00161ACD" w:rsidP="00161ACD">
      <w:pPr>
        <w:rPr>
          <w:rStyle w:val="StyleBoldUnderline"/>
        </w:rPr>
      </w:pPr>
      <w:bookmarkStart w:id="4" w:name="10"/>
      <w:bookmarkEnd w:id="4"/>
      <w:r w:rsidRPr="00FE547F">
        <w:t>I definitely think it’s [discrimination] still there.</w:t>
      </w:r>
      <w:r w:rsidRPr="00FE547F">
        <w:rPr>
          <w:sz w:val="12"/>
        </w:rPr>
        <w:t xml:space="preserve">¶ </w:t>
      </w:r>
      <w:r w:rsidRPr="00FE547F">
        <w:t>...I</w:t>
      </w:r>
      <w:r w:rsidRPr="00FE547F">
        <w:rPr>
          <w:sz w:val="12"/>
        </w:rPr>
        <w:t xml:space="preserve">¶ </w:t>
      </w:r>
      <w:r w:rsidRPr="00FE547F">
        <w:t xml:space="preserve">think that </w:t>
      </w:r>
      <w:r w:rsidRPr="00E62A53">
        <w:rPr>
          <w:rStyle w:val="StyleBoldUnderline"/>
          <w:highlight w:val="yellow"/>
        </w:rPr>
        <w:t xml:space="preserve">the </w:t>
      </w:r>
      <w:r w:rsidRPr="00E62A53">
        <w:rPr>
          <w:rStyle w:val="Emphasis"/>
          <w:highlight w:val="yellow"/>
        </w:rPr>
        <w:t>hardest</w:t>
      </w:r>
      <w:r w:rsidRPr="00E62A53">
        <w:rPr>
          <w:rStyle w:val="StyleBoldUnderline"/>
          <w:highlight w:val="yellow"/>
        </w:rPr>
        <w:t xml:space="preserve"> </w:t>
      </w:r>
      <w:r w:rsidRPr="00E62A53">
        <w:rPr>
          <w:rStyle w:val="Emphasis"/>
          <w:highlight w:val="yellow"/>
        </w:rPr>
        <w:t>part</w:t>
      </w:r>
      <w:r w:rsidRPr="00E62A53">
        <w:rPr>
          <w:rStyle w:val="StyleBoldUnderline"/>
          <w:highlight w:val="yellow"/>
        </w:rPr>
        <w:t xml:space="preserve"> is that it’s covert</w:t>
      </w:r>
      <w:r w:rsidRPr="00FE547F">
        <w:t>. It’s like how racism is now. I mean, Black peo</w:t>
      </w:r>
      <w:r w:rsidRPr="00FE547F">
        <w:rPr>
          <w:sz w:val="12"/>
        </w:rPr>
        <w:t xml:space="preserve">¶ </w:t>
      </w:r>
      <w:r w:rsidRPr="00FE547F">
        <w:t>-</w:t>
      </w:r>
      <w:r w:rsidRPr="00FE547F">
        <w:rPr>
          <w:sz w:val="12"/>
        </w:rPr>
        <w:t xml:space="preserve">¶ </w:t>
      </w:r>
      <w:r w:rsidRPr="00FE547F">
        <w:t>ple may have equal rights but it’s still there. You can’t put your finger on</w:t>
      </w:r>
      <w:r w:rsidRPr="00FE547F">
        <w:rPr>
          <w:sz w:val="12"/>
        </w:rPr>
        <w:t xml:space="preserve">¶ </w:t>
      </w:r>
      <w:r w:rsidRPr="00FE547F">
        <w:t>what it is, but it’s there. I</w:t>
      </w:r>
      <w:r w:rsidRPr="00FE547F">
        <w:rPr>
          <w:sz w:val="12"/>
        </w:rPr>
        <w:t xml:space="preserve">¶ </w:t>
      </w:r>
      <w:r w:rsidRPr="00FE547F">
        <w:t>...it</w:t>
      </w:r>
      <w:r w:rsidRPr="00FE547F">
        <w:rPr>
          <w:sz w:val="12"/>
        </w:rPr>
        <w:t xml:space="preserve">¶ </w:t>
      </w:r>
      <w:r w:rsidRPr="00FE547F">
        <w:t>feels like</w:t>
      </w:r>
      <w:r w:rsidRPr="00FE547F">
        <w:rPr>
          <w:sz w:val="12"/>
        </w:rPr>
        <w:t xml:space="preserve">¶ </w:t>
      </w:r>
      <w:r w:rsidRPr="00FE547F">
        <w:t>...it’s</w:t>
      </w:r>
      <w:r w:rsidRPr="00FE547F">
        <w:rPr>
          <w:sz w:val="12"/>
        </w:rPr>
        <w:t xml:space="preserve">¶ </w:t>
      </w:r>
      <w:r w:rsidRPr="00FE547F">
        <w:t>little things in a conversa</w:t>
      </w:r>
      <w:r w:rsidRPr="00FE547F">
        <w:rPr>
          <w:sz w:val="12"/>
        </w:rPr>
        <w:t xml:space="preserve">¶ </w:t>
      </w:r>
      <w:r w:rsidRPr="00FE547F">
        <w:t>-</w:t>
      </w:r>
      <w:r w:rsidRPr="00FE547F">
        <w:rPr>
          <w:sz w:val="12"/>
        </w:rPr>
        <w:t xml:space="preserve">¶ </w:t>
      </w:r>
      <w:r w:rsidRPr="00FE547F">
        <w:t xml:space="preserve">tion, like </w:t>
      </w:r>
      <w:r w:rsidRPr="00E62A53">
        <w:rPr>
          <w:rStyle w:val="StyleBoldUnderline"/>
          <w:highlight w:val="yellow"/>
        </w:rPr>
        <w:t>if you talk about the guy you’re dating</w:t>
      </w:r>
      <w:r w:rsidRPr="003226B9">
        <w:rPr>
          <w:rStyle w:val="StyleBoldUnderline"/>
        </w:rPr>
        <w:t xml:space="preserve"> </w:t>
      </w:r>
      <w:r w:rsidRPr="00FE547F">
        <w:t xml:space="preserve">you get . . . like </w:t>
      </w:r>
      <w:r w:rsidRPr="00E62A53">
        <w:rPr>
          <w:rStyle w:val="StyleBoldUnderline"/>
          <w:highlight w:val="yellow"/>
        </w:rPr>
        <w:t>people¶ invalidate</w:t>
      </w:r>
      <w:r w:rsidRPr="003226B9">
        <w:rPr>
          <w:rStyle w:val="StyleBoldUnderline"/>
        </w:rPr>
        <w:t xml:space="preserve"> that</w:t>
      </w:r>
      <w:r w:rsidRPr="00FE547F">
        <w:rPr>
          <w:sz w:val="12"/>
        </w:rPr>
        <w:t xml:space="preserve">¶ </w:t>
      </w:r>
      <w:r w:rsidRPr="00FE547F">
        <w:t>. . . and people seem to act like maybe it’s just a phase.</w:t>
      </w:r>
      <w:r w:rsidRPr="00FE547F">
        <w:rPr>
          <w:sz w:val="12"/>
        </w:rPr>
        <w:t xml:space="preserve">¶ </w:t>
      </w:r>
      <w:r w:rsidRPr="00FE547F">
        <w:t xml:space="preserve">You develop this strong sisterhood and so </w:t>
      </w:r>
      <w:r w:rsidRPr="00E62A53">
        <w:rPr>
          <w:rStyle w:val="StyleBoldUnderline"/>
          <w:highlight w:val="yellow"/>
        </w:rPr>
        <w:t>when</w:t>
      </w:r>
      <w:r w:rsidRPr="00FE547F">
        <w:t xml:space="preserve"> </w:t>
      </w:r>
      <w:r w:rsidRPr="00E62A53">
        <w:rPr>
          <w:rStyle w:val="StyleBoldUnderline"/>
          <w:highlight w:val="yellow"/>
        </w:rPr>
        <w:t>somebody</w:t>
      </w:r>
      <w:r w:rsidRPr="00FE547F">
        <w:t xml:space="preserve"> breaks away</w:t>
      </w:r>
      <w:r w:rsidRPr="00FE547F">
        <w:rPr>
          <w:sz w:val="12"/>
        </w:rPr>
        <w:t xml:space="preserve">¶ </w:t>
      </w:r>
      <w:r w:rsidRPr="00FE547F">
        <w:t xml:space="preserve">from that and </w:t>
      </w:r>
      <w:r w:rsidRPr="00E62A53">
        <w:rPr>
          <w:rStyle w:val="StyleBoldUnderline"/>
          <w:highlight w:val="yellow"/>
        </w:rPr>
        <w:t>starts dating men</w:t>
      </w:r>
      <w:r w:rsidRPr="00E532AD">
        <w:rPr>
          <w:rStyle w:val="StyleBoldUnderline"/>
        </w:rPr>
        <w:t xml:space="preserve"> </w:t>
      </w:r>
      <w:r w:rsidRPr="00E62A53">
        <w:rPr>
          <w:rStyle w:val="StyleBoldUnderline"/>
          <w:highlight w:val="yellow"/>
        </w:rPr>
        <w:t>it seems to put the rift back between you</w:t>
      </w:r>
      <w:r w:rsidRPr="00E532AD">
        <w:rPr>
          <w:rStyle w:val="StyleBoldUnderline"/>
        </w:rPr>
        <w:t xml:space="preserve">.¶ Like they’re this and </w:t>
      </w:r>
      <w:r w:rsidRPr="00E532AD">
        <w:rPr>
          <w:rStyle w:val="Emphasis"/>
        </w:rPr>
        <w:t>you’re</w:t>
      </w:r>
      <w:r w:rsidRPr="00E532AD">
        <w:rPr>
          <w:rStyle w:val="StyleBoldUnderline"/>
        </w:rPr>
        <w:t xml:space="preserve"> </w:t>
      </w:r>
      <w:r w:rsidRPr="00E532AD">
        <w:rPr>
          <w:rStyle w:val="Emphasis"/>
        </w:rPr>
        <w:t>not</w:t>
      </w:r>
      <w:r w:rsidRPr="00E532AD">
        <w:rPr>
          <w:rStyle w:val="StyleBoldUnderline"/>
        </w:rPr>
        <w:t xml:space="preserve"> anymore.</w:t>
      </w:r>
    </w:p>
    <w:p w:rsidR="00161ACD" w:rsidRPr="00FE547F" w:rsidRDefault="00161ACD" w:rsidP="00161ACD"/>
    <w:p w:rsidR="00161ACD" w:rsidRDefault="00161ACD" w:rsidP="00161ACD">
      <w:r w:rsidRPr="00FE547F">
        <w:t xml:space="preserve">One form </w:t>
      </w:r>
      <w:r w:rsidRPr="005C7319">
        <w:rPr>
          <w:rStyle w:val="StyleBoldUnderline"/>
        </w:rPr>
        <w:t>this discrimination takes is through the invisibility/ignorance of¶ bisexuality</w:t>
      </w:r>
      <w:r w:rsidRPr="00FE547F">
        <w:t>. While participants in this project expressed a variety of issues and</w:t>
      </w:r>
      <w:r w:rsidRPr="00FE547F">
        <w:rPr>
          <w:sz w:val="12"/>
        </w:rPr>
        <w:t xml:space="preserve">¶ </w:t>
      </w:r>
      <w:r w:rsidRPr="00FE547F">
        <w:t>ideas in our discussions, one issue that every participant spoke of was the in</w:t>
      </w:r>
      <w:r w:rsidRPr="00FE547F">
        <w:rPr>
          <w:sz w:val="12"/>
        </w:rPr>
        <w:t xml:space="preserve">¶ </w:t>
      </w:r>
      <w:r w:rsidRPr="00FE547F">
        <w:t>-</w:t>
      </w:r>
      <w:r w:rsidRPr="00FE547F">
        <w:rPr>
          <w:sz w:val="12"/>
        </w:rPr>
        <w:t xml:space="preserve">¶ </w:t>
      </w:r>
      <w:r w:rsidRPr="00FE547F">
        <w:t>visibility of bisexuality. Even the bisexual women I spoke with who have</w:t>
      </w:r>
      <w:r w:rsidRPr="00FE547F">
        <w:rPr>
          <w:sz w:val="12"/>
        </w:rPr>
        <w:t xml:space="preserve">¶ </w:t>
      </w:r>
      <w:r w:rsidRPr="00FE547F">
        <w:t>found a place for themselves within this community expressed the difficulty</w:t>
      </w:r>
      <w:r w:rsidRPr="00FE547F">
        <w:rPr>
          <w:sz w:val="12"/>
        </w:rPr>
        <w:t xml:space="preserve">¶ </w:t>
      </w:r>
      <w:r w:rsidRPr="00FE547F">
        <w:t xml:space="preserve">they have had fitting in. </w:t>
      </w:r>
      <w:proofErr w:type="gramStart"/>
      <w:r w:rsidRPr="005C7319">
        <w:rPr>
          <w:rStyle w:val="StyleBoldUnderline"/>
        </w:rPr>
        <w:t>While the LBGT community has been supportive of¶ their “gay side” the other side of their identity has been neglected</w:t>
      </w:r>
      <w:r w:rsidRPr="00FE547F">
        <w:t>.</w:t>
      </w:r>
      <w:proofErr w:type="gramEnd"/>
      <w:r w:rsidRPr="00FE547F">
        <w:t xml:space="preserve"> As Angela</w:t>
      </w:r>
      <w:proofErr w:type="gramStart"/>
      <w:r w:rsidRPr="00FE547F">
        <w:t>,</w:t>
      </w:r>
      <w:r w:rsidRPr="00FE547F">
        <w:rPr>
          <w:sz w:val="12"/>
        </w:rPr>
        <w:t>¶</w:t>
      </w:r>
      <w:proofErr w:type="gramEnd"/>
      <w:r w:rsidRPr="00FE547F">
        <w:rPr>
          <w:sz w:val="12"/>
        </w:rPr>
        <w:t xml:space="preserve"> </w:t>
      </w:r>
      <w:r w:rsidRPr="00FE547F">
        <w:t>a 19-year-old bisexual woman explained to me about her experience with</w:t>
      </w:r>
      <w:r w:rsidRPr="00FE547F">
        <w:rPr>
          <w:sz w:val="12"/>
        </w:rPr>
        <w:t xml:space="preserve">¶ </w:t>
      </w:r>
      <w:r w:rsidRPr="00FE547F">
        <w:t>wearing “pride” symbols:</w:t>
      </w:r>
    </w:p>
    <w:p w:rsidR="00161ACD" w:rsidRPr="00FE547F" w:rsidRDefault="00161ACD" w:rsidP="00161ACD"/>
    <w:p w:rsidR="00161ACD" w:rsidRPr="00FE547F" w:rsidRDefault="00161ACD" w:rsidP="00161ACD">
      <w:r w:rsidRPr="00FE547F">
        <w:t>I’ve also had people tell me I shouldn’t wear pride bracelets or stickers</w:t>
      </w:r>
      <w:r w:rsidRPr="00FE547F">
        <w:rPr>
          <w:sz w:val="12"/>
        </w:rPr>
        <w:t xml:space="preserve">¶ </w:t>
      </w:r>
      <w:r w:rsidRPr="00FE547F">
        <w:t>because I’m bi, not gay. And I know straight people who have rainbow</w:t>
      </w:r>
      <w:r w:rsidRPr="00FE547F">
        <w:rPr>
          <w:sz w:val="12"/>
        </w:rPr>
        <w:t xml:space="preserve">¶ </w:t>
      </w:r>
      <w:r w:rsidRPr="00FE547F">
        <w:t>stuff, why aren’t you yelling at them? And they’re like, well, they’re al-</w:t>
      </w:r>
      <w:r w:rsidRPr="00FE547F">
        <w:rPr>
          <w:sz w:val="12"/>
        </w:rPr>
        <w:t xml:space="preserve">¶ </w:t>
      </w:r>
      <w:r w:rsidRPr="00FE547F">
        <w:t xml:space="preserve">lies. And I’m </w:t>
      </w:r>
      <w:proofErr w:type="gramStart"/>
      <w:r w:rsidRPr="00FE547F">
        <w:t>like,</w:t>
      </w:r>
      <w:proofErr w:type="gramEnd"/>
      <w:r w:rsidRPr="00FE547F">
        <w:t xml:space="preserve"> I’m an ally and a member of the community. And they</w:t>
      </w:r>
      <w:r w:rsidRPr="00FE547F">
        <w:rPr>
          <w:sz w:val="12"/>
        </w:rPr>
        <w:t xml:space="preserve">¶ </w:t>
      </w:r>
      <w:r w:rsidRPr="00FE547F">
        <w:t>don’t get that.</w:t>
      </w:r>
      <w:r w:rsidRPr="00FE547F">
        <w:rPr>
          <w:sz w:val="12"/>
        </w:rPr>
        <w:t xml:space="preserve">¶ </w:t>
      </w:r>
      <w:proofErr w:type="gramStart"/>
      <w:r w:rsidRPr="00FE547F">
        <w:t>Throughout</w:t>
      </w:r>
      <w:proofErr w:type="gramEnd"/>
      <w:r w:rsidRPr="00FE547F">
        <w:t xml:space="preserve"> the interview </w:t>
      </w:r>
      <w:r w:rsidRPr="005C7319">
        <w:rPr>
          <w:rStyle w:val="StyleBoldUnderline"/>
        </w:rPr>
        <w:t>Angela described the pressure she felt not to talk¶ about her heterosexual relationships within the LBGT community</w:t>
      </w:r>
      <w:r w:rsidRPr="00FE547F">
        <w:t xml:space="preserve">. </w:t>
      </w:r>
      <w:proofErr w:type="gramStart"/>
      <w:r w:rsidRPr="00FE547F">
        <w:t>Yet she at</w:t>
      </w:r>
      <w:r w:rsidRPr="00FE547F">
        <w:rPr>
          <w:sz w:val="12"/>
        </w:rPr>
        <w:t xml:space="preserve">¶ </w:t>
      </w:r>
      <w:r w:rsidRPr="00FE547F">
        <w:t>-</w:t>
      </w:r>
      <w:r w:rsidRPr="00FE547F">
        <w:rPr>
          <w:sz w:val="12"/>
        </w:rPr>
        <w:t xml:space="preserve">¶ </w:t>
      </w:r>
      <w:r w:rsidRPr="00FE547F">
        <w:t>tributes this pressure to her own thinking, as she explains in the following ex</w:t>
      </w:r>
      <w:r w:rsidRPr="00FE547F">
        <w:rPr>
          <w:sz w:val="12"/>
        </w:rPr>
        <w:t xml:space="preserve">¶ </w:t>
      </w:r>
      <w:r w:rsidRPr="00FE547F">
        <w:t>-</w:t>
      </w:r>
      <w:r w:rsidRPr="00FE547F">
        <w:rPr>
          <w:sz w:val="12"/>
        </w:rPr>
        <w:t xml:space="preserve">¶ </w:t>
      </w:r>
      <w:r w:rsidRPr="00FE547F">
        <w:t>cerpt from her interview.</w:t>
      </w:r>
      <w:proofErr w:type="gramEnd"/>
    </w:p>
    <w:p w:rsidR="00161ACD" w:rsidRPr="00A60BAC" w:rsidRDefault="00161ACD" w:rsidP="00161ACD">
      <w:pPr>
        <w:rPr>
          <w:rFonts w:ascii="Times New Roman" w:eastAsia="Times New Roman" w:hAnsi="Times New Roman" w:cs="Times New Roman"/>
          <w:sz w:val="21"/>
          <w:szCs w:val="21"/>
        </w:rPr>
      </w:pPr>
    </w:p>
    <w:p w:rsidR="00161ACD" w:rsidRPr="006F5914" w:rsidRDefault="00161ACD" w:rsidP="00161ACD">
      <w:pPr>
        <w:rPr>
          <w:rStyle w:val="StyleBoldUnderline"/>
        </w:rPr>
      </w:pPr>
      <w:r w:rsidRPr="005C7319">
        <w:rPr>
          <w:rStyle w:val="StyleBoldUnderline"/>
        </w:rPr>
        <w:t>I can’t talk about my heterosexual relationships when I can talk about¶ my homosexual relationships.</w:t>
      </w:r>
      <w:r w:rsidRPr="00FE547F">
        <w:t xml:space="preserve"> Which is purely me and my own feelings.</w:t>
      </w:r>
      <w:r w:rsidRPr="00FE547F">
        <w:rPr>
          <w:sz w:val="12"/>
        </w:rPr>
        <w:t xml:space="preserve">¶ </w:t>
      </w:r>
      <w:r w:rsidRPr="00FE547F">
        <w:t>It’s nothing they’ve done to make me feel that way, it’s just my own like,</w:t>
      </w:r>
      <w:r w:rsidRPr="00FE547F">
        <w:rPr>
          <w:sz w:val="12"/>
        </w:rPr>
        <w:t xml:space="preserve">¶ </w:t>
      </w:r>
      <w:r w:rsidRPr="00FE547F">
        <w:t>oh my god are they gonna be OK with this. When I first came here I did</w:t>
      </w:r>
      <w:r w:rsidRPr="00FE547F">
        <w:rPr>
          <w:sz w:val="12"/>
        </w:rPr>
        <w:t xml:space="preserve">¶ </w:t>
      </w:r>
      <w:r w:rsidRPr="00FE547F">
        <w:t>-</w:t>
      </w:r>
      <w:r w:rsidRPr="00FE547F">
        <w:rPr>
          <w:sz w:val="12"/>
        </w:rPr>
        <w:t xml:space="preserve">¶ </w:t>
      </w:r>
      <w:r w:rsidRPr="00FE547F">
        <w:t>n’t know how open they really are. And they are supportive here. I think</w:t>
      </w:r>
      <w:r w:rsidRPr="00FE547F">
        <w:rPr>
          <w:sz w:val="12"/>
        </w:rPr>
        <w:t xml:space="preserve">¶ </w:t>
      </w:r>
      <w:r w:rsidRPr="00FE547F">
        <w:t>bisexual and transgender gets left out a lot in a lot of the literature and</w:t>
      </w:r>
      <w:r w:rsidRPr="00FE547F">
        <w:rPr>
          <w:sz w:val="12"/>
        </w:rPr>
        <w:t xml:space="preserve">¶ </w:t>
      </w:r>
      <w:r w:rsidRPr="00FE547F">
        <w:t xml:space="preserve">stuff though, because it’s usually just gay and straight. And </w:t>
      </w:r>
      <w:r w:rsidRPr="006F5914">
        <w:rPr>
          <w:rStyle w:val="StyleBoldUnderline"/>
        </w:rPr>
        <w:t>people don’t¶ really understand. It’s like, you’re straight, you like the opposite sex</w:t>
      </w:r>
      <w:proofErr w:type="gramStart"/>
      <w:r w:rsidRPr="006F5914">
        <w:rPr>
          <w:rStyle w:val="StyleBoldUnderline"/>
        </w:rPr>
        <w:t>,¶</w:t>
      </w:r>
      <w:proofErr w:type="gramEnd"/>
      <w:r w:rsidRPr="006F5914">
        <w:rPr>
          <w:rStyle w:val="StyleBoldUnderline"/>
        </w:rPr>
        <w:t xml:space="preserve"> fine. You’re gay, you like the same sex, fine. But </w:t>
      </w:r>
      <w:r w:rsidRPr="00E62A53">
        <w:rPr>
          <w:rStyle w:val="StyleBoldUnderline"/>
          <w:highlight w:val="yellow"/>
        </w:rPr>
        <w:t>wait, you like both¶ sexes? Why? How?</w:t>
      </w:r>
    </w:p>
    <w:p w:rsidR="00161ACD" w:rsidRPr="00A60BAC" w:rsidRDefault="00161ACD" w:rsidP="00161ACD">
      <w:pPr>
        <w:rPr>
          <w:rFonts w:ascii="Times New Roman" w:eastAsia="Times New Roman" w:hAnsi="Times New Roman" w:cs="Times New Roman"/>
          <w:sz w:val="21"/>
          <w:szCs w:val="21"/>
        </w:rPr>
      </w:pPr>
    </w:p>
    <w:p w:rsidR="00161ACD" w:rsidRPr="006F5914" w:rsidRDefault="00161ACD" w:rsidP="00161ACD">
      <w:pPr>
        <w:rPr>
          <w:rStyle w:val="StyleBoldUnderline"/>
        </w:rPr>
      </w:pPr>
      <w:r w:rsidRPr="006F5914">
        <w:rPr>
          <w:rStyle w:val="StyleBoldUnderline"/>
        </w:rPr>
        <w:t>This exemplifies an issue often explored in feminist consciousness-raising</w:t>
      </w:r>
      <w:proofErr w:type="gramStart"/>
      <w:r w:rsidRPr="006F5914">
        <w:rPr>
          <w:rStyle w:val="StyleBoldUnderline"/>
        </w:rPr>
        <w:t>,</w:t>
      </w:r>
      <w:r w:rsidRPr="00FE547F">
        <w:rPr>
          <w:sz w:val="12"/>
        </w:rPr>
        <w:t>¶</w:t>
      </w:r>
      <w:proofErr w:type="gramEnd"/>
      <w:r w:rsidRPr="00FE547F">
        <w:rPr>
          <w:sz w:val="12"/>
        </w:rPr>
        <w:t xml:space="preserve"> </w:t>
      </w:r>
      <w:r w:rsidRPr="00FE547F">
        <w:t xml:space="preserve">the connection of personal troubles with the larger community. </w:t>
      </w:r>
      <w:r w:rsidRPr="006F5914">
        <w:rPr>
          <w:rStyle w:val="StyleBoldUnderline"/>
        </w:rPr>
        <w:t>Almost every¶ one interviewed had a story about feeling uncomfortable</w:t>
      </w:r>
      <w:r w:rsidRPr="00FE547F">
        <w:t>, yet most people</w:t>
      </w:r>
      <w:r w:rsidRPr="00FE547F">
        <w:rPr>
          <w:sz w:val="12"/>
        </w:rPr>
        <w:t xml:space="preserve">¶ </w:t>
      </w:r>
      <w:r w:rsidRPr="00FE547F">
        <w:t>thought this was something that only happened to him or her. Angela cites the</w:t>
      </w:r>
      <w:r w:rsidRPr="00FE547F">
        <w:rPr>
          <w:sz w:val="12"/>
        </w:rPr>
        <w:t xml:space="preserve">¶ </w:t>
      </w:r>
      <w:r w:rsidRPr="00FE547F">
        <w:t>lack of bisexual and transgender issues in the LBGT literature, but doesn’t</w:t>
      </w:r>
      <w:r w:rsidRPr="00FE547F">
        <w:rPr>
          <w:sz w:val="12"/>
        </w:rPr>
        <w:t xml:space="preserve">¶ </w:t>
      </w:r>
      <w:r w:rsidRPr="00FE547F">
        <w:t>necessarily connect this to her own feelings of being uncomfortable discuss</w:t>
      </w:r>
      <w:r w:rsidRPr="00FE547F">
        <w:rPr>
          <w:sz w:val="12"/>
        </w:rPr>
        <w:t xml:space="preserve">¶ </w:t>
      </w:r>
      <w:r w:rsidRPr="00FE547F">
        <w:t>-</w:t>
      </w:r>
      <w:r w:rsidRPr="00FE547F">
        <w:rPr>
          <w:sz w:val="12"/>
        </w:rPr>
        <w:t xml:space="preserve">¶ </w:t>
      </w:r>
      <w:r w:rsidRPr="00FE547F">
        <w:t>ing her heterosexual relationships</w:t>
      </w:r>
      <w:r w:rsidRPr="006F5914">
        <w:rPr>
          <w:rStyle w:val="StyleBoldUnderline"/>
        </w:rPr>
        <w:t xml:space="preserve">. </w:t>
      </w:r>
      <w:r w:rsidRPr="00E62A53">
        <w:rPr>
          <w:rStyle w:val="StyleBoldUnderline"/>
          <w:highlight w:val="yellow"/>
        </w:rPr>
        <w:t xml:space="preserve">The result is that women feel a </w:t>
      </w:r>
      <w:r w:rsidRPr="00E62A53">
        <w:rPr>
          <w:rStyle w:val="Emphasis"/>
          <w:highlight w:val="yellow"/>
        </w:rPr>
        <w:t>self</w:t>
      </w:r>
      <w:r w:rsidRPr="00E62A53">
        <w:rPr>
          <w:rStyle w:val="StyleBoldUnderline"/>
          <w:highlight w:val="yellow"/>
        </w:rPr>
        <w:t>-</w:t>
      </w:r>
      <w:r w:rsidRPr="00E62A53">
        <w:rPr>
          <w:rStyle w:val="Emphasis"/>
          <w:highlight w:val="yellow"/>
        </w:rPr>
        <w:t>imposed</w:t>
      </w:r>
      <w:r w:rsidRPr="00E62A53">
        <w:rPr>
          <w:rStyle w:val="StyleBoldUnderline"/>
          <w:highlight w:val="yellow"/>
        </w:rPr>
        <w:t xml:space="preserve"> </w:t>
      </w:r>
      <w:r w:rsidRPr="00E62A53">
        <w:rPr>
          <w:rStyle w:val="Emphasis"/>
          <w:highlight w:val="yellow"/>
        </w:rPr>
        <w:t>pressure</w:t>
      </w:r>
      <w:r w:rsidRPr="00E62A53">
        <w:rPr>
          <w:rStyle w:val="StyleBoldUnderline"/>
          <w:highlight w:val="yellow"/>
        </w:rPr>
        <w:t xml:space="preserve"> to hide their “</w:t>
      </w:r>
      <w:r w:rsidRPr="00E62A53">
        <w:rPr>
          <w:rStyle w:val="Emphasis"/>
          <w:highlight w:val="yellow"/>
        </w:rPr>
        <w:t>heterosexual</w:t>
      </w:r>
      <w:r w:rsidRPr="00E62A53">
        <w:rPr>
          <w:rStyle w:val="StyleBoldUnderline"/>
          <w:highlight w:val="yellow"/>
        </w:rPr>
        <w:t xml:space="preserve"> </w:t>
      </w:r>
      <w:r w:rsidRPr="00E62A53">
        <w:rPr>
          <w:rStyle w:val="Emphasis"/>
          <w:highlight w:val="yellow"/>
        </w:rPr>
        <w:t>side</w:t>
      </w:r>
      <w:r w:rsidRPr="006F5914">
        <w:rPr>
          <w:rStyle w:val="StyleBoldUnderline"/>
        </w:rPr>
        <w:t>.</w:t>
      </w:r>
    </w:p>
    <w:p w:rsidR="00161ACD" w:rsidRDefault="00161ACD" w:rsidP="00161ACD"/>
    <w:p w:rsidR="00161ACD" w:rsidRDefault="00161ACD" w:rsidP="00161ACD"/>
    <w:p w:rsidR="00161ACD" w:rsidRPr="008626A3" w:rsidRDefault="00161ACD" w:rsidP="00161ACD">
      <w:pPr>
        <w:pStyle w:val="Heading4"/>
      </w:pPr>
      <w:r w:rsidRPr="008626A3">
        <w:lastRenderedPageBreak/>
        <w:t>Permutation- embrace the position of the bisexual—as opposed to their totalizing binary politics, we should refuse both heterosexuality AND homosexuality as two sides of the same coin.  This provides individual agency while also supplying a challenge to patriarchy—it’s the only solution to provide agency</w:t>
      </w:r>
    </w:p>
    <w:p w:rsidR="00161ACD" w:rsidRDefault="00161ACD" w:rsidP="00161ACD">
      <w:r w:rsidRPr="00965B9B">
        <w:rPr>
          <w:rStyle w:val="StyleStyleBold12pt"/>
        </w:rPr>
        <w:t>Hartman, 2006</w:t>
      </w:r>
      <w:r>
        <w:t xml:space="preserve"> [</w:t>
      </w:r>
      <w:r w:rsidRPr="001572A1">
        <w:t>Julie E. Hartman</w:t>
      </w:r>
      <w:r>
        <w:t>, PHD gender and sociology,</w:t>
      </w:r>
      <w:r w:rsidRPr="001572A1">
        <w:t xml:space="preserve"> (2006) Another Kind of </w:t>
      </w:r>
      <w:r w:rsidRPr="001572A1">
        <w:rPr>
          <w:sz w:val="12"/>
        </w:rPr>
        <w:t xml:space="preserve">¶ </w:t>
      </w:r>
      <w:r w:rsidRPr="001572A1">
        <w:t>“</w:t>
      </w:r>
      <w:r w:rsidRPr="001572A1">
        <w:rPr>
          <w:sz w:val="12"/>
        </w:rPr>
        <w:t xml:space="preserve">¶ </w:t>
      </w:r>
      <w:r w:rsidRPr="001572A1">
        <w:t>Chilly Climate</w:t>
      </w:r>
      <w:r w:rsidRPr="001572A1">
        <w:rPr>
          <w:sz w:val="12"/>
        </w:rPr>
        <w:t xml:space="preserve">¶ </w:t>
      </w:r>
      <w:r w:rsidRPr="001572A1">
        <w:t>”</w:t>
      </w:r>
      <w:r w:rsidRPr="001572A1">
        <w:rPr>
          <w:sz w:val="12"/>
        </w:rPr>
        <w:t xml:space="preserve">¶ </w:t>
      </w:r>
      <w:r w:rsidRPr="001572A1">
        <w:t>, Journal</w:t>
      </w:r>
      <w:r w:rsidRPr="001572A1">
        <w:rPr>
          <w:sz w:val="12"/>
        </w:rPr>
        <w:t xml:space="preserve">¶ </w:t>
      </w:r>
      <w:r w:rsidRPr="001572A1">
        <w:t>of Bisexuality, 5:4, 61-76</w:t>
      </w:r>
      <w:r>
        <w:t>]</w:t>
      </w:r>
    </w:p>
    <w:p w:rsidR="00161ACD" w:rsidRDefault="00161ACD" w:rsidP="00161ACD">
      <w:pPr>
        <w:rPr>
          <w:rStyle w:val="StyleBoldUnderline"/>
        </w:rPr>
      </w:pPr>
    </w:p>
    <w:p w:rsidR="00161ACD" w:rsidRPr="005F6F39" w:rsidRDefault="00161ACD" w:rsidP="00161ACD">
      <w:pPr>
        <w:rPr>
          <w:rStyle w:val="StyleBoldUnderline"/>
        </w:rPr>
      </w:pPr>
      <w:r w:rsidRPr="00032BEE">
        <w:t xml:space="preserve">In addition to queer theory, post-structuralists have also looked at the </w:t>
      </w:r>
      <w:r w:rsidRPr="00032BEE">
        <w:rPr>
          <w:rStyle w:val="StyleBoldUnderline"/>
        </w:rPr>
        <w:t>socio¶ -¶ logical aspects of sexuality</w:t>
      </w:r>
      <w:r w:rsidRPr="00032BEE">
        <w:t xml:space="preserve">. Namaste (1994) </w:t>
      </w:r>
      <w:r w:rsidRPr="00032BEE">
        <w:rPr>
          <w:rStyle w:val="StyleBoldUnderline"/>
        </w:rPr>
        <w:t>stresses</w:t>
      </w:r>
      <w:r w:rsidRPr="00032BEE">
        <w:t xml:space="preserve"> </w:t>
      </w:r>
      <w:r w:rsidRPr="00032BEE">
        <w:rPr>
          <w:rStyle w:val="StyleBoldUnderline"/>
        </w:rPr>
        <w:t xml:space="preserve">the </w:t>
      </w:r>
      <w:r w:rsidRPr="00E62A53">
        <w:rPr>
          <w:rStyle w:val="StyleBoldUnderline"/>
          <w:highlight w:val="yellow"/>
        </w:rPr>
        <w:t>importance of bridging the gap between queer theory and sociology to study sexuality</w:t>
      </w:r>
      <w:r w:rsidRPr="00E62A53">
        <w:rPr>
          <w:highlight w:val="yellow"/>
        </w:rPr>
        <w:t>.</w:t>
      </w:r>
      <w:r w:rsidRPr="00032BEE">
        <w:t xml:space="preserve"> Here</w:t>
      </w:r>
      <w:r w:rsidRPr="00032BEE">
        <w:rPr>
          <w:sz w:val="12"/>
        </w:rPr>
        <w:t xml:space="preserve">¶ </w:t>
      </w:r>
      <w:r w:rsidRPr="00032BEE">
        <w:t>Namaste draws on the work of Foucault and Derrida to examine the ways in</w:t>
      </w:r>
      <w:r w:rsidRPr="00032BEE">
        <w:rPr>
          <w:sz w:val="12"/>
        </w:rPr>
        <w:t xml:space="preserve">¶ </w:t>
      </w:r>
      <w:r w:rsidRPr="00032BEE">
        <w:t xml:space="preserve">which </w:t>
      </w:r>
      <w:r w:rsidRPr="00E62A53">
        <w:rPr>
          <w:rStyle w:val="Emphasis"/>
          <w:highlight w:val="yellow"/>
        </w:rPr>
        <w:t>homosexuality</w:t>
      </w:r>
      <w:r w:rsidRPr="00E62A53">
        <w:rPr>
          <w:rStyle w:val="StyleBoldUnderline"/>
          <w:highlight w:val="yellow"/>
        </w:rPr>
        <w:t xml:space="preserve"> and </w:t>
      </w:r>
      <w:r w:rsidRPr="00E62A53">
        <w:rPr>
          <w:rStyle w:val="Emphasis"/>
          <w:highlight w:val="yellow"/>
        </w:rPr>
        <w:t>heterosexuality</w:t>
      </w:r>
      <w:r w:rsidRPr="00E62A53">
        <w:rPr>
          <w:rStyle w:val="StyleBoldUnderline"/>
          <w:highlight w:val="yellow"/>
        </w:rPr>
        <w:t xml:space="preserve"> </w:t>
      </w:r>
      <w:r w:rsidRPr="00E62A53">
        <w:rPr>
          <w:rStyle w:val="Emphasis"/>
          <w:highlight w:val="yellow"/>
        </w:rPr>
        <w:t>depend</w:t>
      </w:r>
      <w:r w:rsidRPr="00E62A53">
        <w:rPr>
          <w:rStyle w:val="StyleBoldUnderline"/>
          <w:highlight w:val="yellow"/>
        </w:rPr>
        <w:t xml:space="preserve"> </w:t>
      </w:r>
      <w:r w:rsidRPr="00E62A53">
        <w:rPr>
          <w:rStyle w:val="Emphasis"/>
          <w:highlight w:val="yellow"/>
        </w:rPr>
        <w:t>upon</w:t>
      </w:r>
      <w:r w:rsidRPr="00E62A53">
        <w:rPr>
          <w:rStyle w:val="StyleBoldUnderline"/>
          <w:highlight w:val="yellow"/>
        </w:rPr>
        <w:t xml:space="preserve"> </w:t>
      </w:r>
      <w:r w:rsidRPr="00E62A53">
        <w:rPr>
          <w:rStyle w:val="Emphasis"/>
          <w:highlight w:val="yellow"/>
        </w:rPr>
        <w:t>one</w:t>
      </w:r>
      <w:r w:rsidRPr="00E62A53">
        <w:rPr>
          <w:rStyle w:val="StyleBoldUnderline"/>
          <w:highlight w:val="yellow"/>
        </w:rPr>
        <w:t xml:space="preserve"> </w:t>
      </w:r>
      <w:r w:rsidRPr="00E62A53">
        <w:rPr>
          <w:rStyle w:val="Emphasis"/>
          <w:highlight w:val="yellow"/>
        </w:rPr>
        <w:t>another</w:t>
      </w:r>
      <w:r w:rsidRPr="00E62A53">
        <w:rPr>
          <w:rStyle w:val="StyleBoldUnderline"/>
          <w:highlight w:val="yellow"/>
        </w:rPr>
        <w:t xml:space="preserve"> f</w:t>
      </w:r>
      <w:r w:rsidRPr="0033610F">
        <w:rPr>
          <w:rStyle w:val="StyleBoldUnderline"/>
        </w:rPr>
        <w:t>or their¶ very definition.</w:t>
      </w:r>
      <w:r w:rsidRPr="00032BEE">
        <w:t xml:space="preserve"> </w:t>
      </w:r>
      <w:r w:rsidRPr="00E62A53">
        <w:rPr>
          <w:rStyle w:val="StyleBoldUnderline"/>
          <w:highlight w:val="yellow"/>
        </w:rPr>
        <w:t>In a binary system there is no</w:t>
      </w:r>
      <w:r w:rsidRPr="0033610F">
        <w:rPr>
          <w:rStyle w:val="StyleBoldUnderline"/>
        </w:rPr>
        <w:t xml:space="preserve"> “</w:t>
      </w:r>
      <w:r w:rsidRPr="00E62A53">
        <w:rPr>
          <w:rStyle w:val="StyleBoldUnderline"/>
          <w:highlight w:val="yellow"/>
        </w:rPr>
        <w:t xml:space="preserve">center” without the “margin”¶ (and there is nothing </w:t>
      </w:r>
      <w:r w:rsidRPr="00E62A53">
        <w:rPr>
          <w:rStyle w:val="Emphasis"/>
          <w:highlight w:val="yellow"/>
        </w:rPr>
        <w:t>“in between”)</w:t>
      </w:r>
      <w:r w:rsidRPr="00032BEE">
        <w:t xml:space="preserve"> </w:t>
      </w:r>
      <w:r w:rsidRPr="0033610F">
        <w:rPr>
          <w:rStyle w:val="StyleBoldUnderline"/>
        </w:rPr>
        <w:t>and there is no “other” unless you have¶ something for comparison</w:t>
      </w:r>
      <w:r w:rsidRPr="00032BEE">
        <w:t xml:space="preserve">. Namaste argues that </w:t>
      </w:r>
      <w:r w:rsidRPr="0033610F">
        <w:rPr>
          <w:rStyle w:val="StyleBoldUnderline"/>
        </w:rPr>
        <w:t>when one attempts to define¶ his or her sexuality outside this binary norm, one must conform to it in order¶ for others to understand this “new” position and respond appropriately</w:t>
      </w:r>
      <w:r w:rsidRPr="00032BEE">
        <w:t>.</w:t>
      </w:r>
      <w:r w:rsidRPr="00032BEE">
        <w:rPr>
          <w:sz w:val="12"/>
        </w:rPr>
        <w:t xml:space="preserve">¶ </w:t>
      </w:r>
      <w:r w:rsidRPr="00032BEE">
        <w:t>Namaste, like many other authors, only briefly touches on the issue of bisexu</w:t>
      </w:r>
      <w:r w:rsidRPr="00032BEE">
        <w:rPr>
          <w:sz w:val="12"/>
        </w:rPr>
        <w:t xml:space="preserve">¶ </w:t>
      </w:r>
      <w:r w:rsidRPr="00032BEE">
        <w:t>-</w:t>
      </w:r>
      <w:r w:rsidRPr="00032BEE">
        <w:rPr>
          <w:sz w:val="12"/>
        </w:rPr>
        <w:t xml:space="preserve">¶ </w:t>
      </w:r>
      <w:r w:rsidRPr="00032BEE">
        <w:t>ality and the impact it has on the heterosexual/homosexual dualism. The au</w:t>
      </w:r>
      <w:r w:rsidRPr="00032BEE">
        <w:rPr>
          <w:sz w:val="12"/>
        </w:rPr>
        <w:t xml:space="preserve">¶ </w:t>
      </w:r>
      <w:r w:rsidRPr="00032BEE">
        <w:t>-</w:t>
      </w:r>
      <w:r w:rsidRPr="00032BEE">
        <w:rPr>
          <w:sz w:val="12"/>
        </w:rPr>
        <w:t xml:space="preserve">¶ </w:t>
      </w:r>
      <w:proofErr w:type="gramStart"/>
      <w:r w:rsidRPr="00032BEE">
        <w:t>thor</w:t>
      </w:r>
      <w:proofErr w:type="gramEnd"/>
      <w:r w:rsidRPr="00032BEE">
        <w:t xml:space="preserve"> asks, “</w:t>
      </w:r>
      <w:r w:rsidRPr="005F6F39">
        <w:rPr>
          <w:rStyle w:val="StyleBoldUnderline"/>
        </w:rPr>
        <w:t xml:space="preserve">Is </w:t>
      </w:r>
      <w:r w:rsidRPr="00E62A53">
        <w:rPr>
          <w:rStyle w:val="StyleBoldUnderline"/>
          <w:highlight w:val="yellow"/>
        </w:rPr>
        <w:t xml:space="preserve">the category ‘homosexual’ the only one available to resist¶ heterosexual hegemony? Where do </w:t>
      </w:r>
      <w:r w:rsidRPr="00E62A53">
        <w:rPr>
          <w:rStyle w:val="Emphasis"/>
          <w:highlight w:val="yellow"/>
        </w:rPr>
        <w:t>bisexuals</w:t>
      </w:r>
      <w:r w:rsidRPr="00E62A53">
        <w:rPr>
          <w:rStyle w:val="StyleBoldUnderline"/>
          <w:highlight w:val="yellow"/>
        </w:rPr>
        <w:t xml:space="preserve"> and </w:t>
      </w:r>
      <w:r w:rsidRPr="00E62A53">
        <w:rPr>
          <w:rStyle w:val="Emphasis"/>
          <w:highlight w:val="yellow"/>
        </w:rPr>
        <w:t>transgenders</w:t>
      </w:r>
      <w:r w:rsidRPr="00E62A53">
        <w:rPr>
          <w:rStyle w:val="StyleBoldUnderline"/>
          <w:highlight w:val="yellow"/>
        </w:rPr>
        <w:t xml:space="preserve"> fit into these¶ debates?”</w:t>
      </w:r>
      <w:r w:rsidRPr="00032BEE">
        <w:t xml:space="preserve"> (p. 228). Namaste suggests </w:t>
      </w:r>
      <w:r w:rsidRPr="005F6F39">
        <w:t>that</w:t>
      </w:r>
      <w:r w:rsidRPr="005F6F39">
        <w:rPr>
          <w:rStyle w:val="StyleBoldUnderline"/>
        </w:rPr>
        <w:t xml:space="preserve"> </w:t>
      </w:r>
      <w:r w:rsidRPr="00E62A53">
        <w:rPr>
          <w:rStyle w:val="StyleBoldUnderline"/>
          <w:highlight w:val="yellow"/>
        </w:rPr>
        <w:t xml:space="preserve">those who refuse </w:t>
      </w:r>
      <w:r w:rsidRPr="00E62A53">
        <w:rPr>
          <w:rStyle w:val="Emphasis"/>
          <w:highlight w:val="yellow"/>
        </w:rPr>
        <w:t>both</w:t>
      </w:r>
      <w:r w:rsidRPr="00E62A53">
        <w:rPr>
          <w:rStyle w:val="StyleBoldUnderline"/>
          <w:highlight w:val="yellow"/>
        </w:rPr>
        <w:t xml:space="preserve"> </w:t>
      </w:r>
      <w:r w:rsidRPr="00E62A53">
        <w:rPr>
          <w:rStyle w:val="Emphasis"/>
          <w:highlight w:val="yellow"/>
        </w:rPr>
        <w:t>options</w:t>
      </w:r>
      <w:r w:rsidRPr="00E62A53">
        <w:rPr>
          <w:rStyle w:val="StyleBoldUnderline"/>
          <w:highlight w:val="yellow"/>
        </w:rPr>
        <w:t xml:space="preserve"> may¶ be the </w:t>
      </w:r>
      <w:r w:rsidRPr="00E62A53">
        <w:rPr>
          <w:rStyle w:val="Emphasis"/>
          <w:highlight w:val="yellow"/>
        </w:rPr>
        <w:t>most effective</w:t>
      </w:r>
      <w:r w:rsidRPr="00E62A53">
        <w:rPr>
          <w:rStyle w:val="StyleBoldUnderline"/>
          <w:highlight w:val="yellow"/>
        </w:rPr>
        <w:t xml:space="preserve"> site of resistance</w:t>
      </w:r>
      <w:r w:rsidRPr="00032BEE">
        <w:t xml:space="preserve">. </w:t>
      </w:r>
      <w:proofErr w:type="gramStart"/>
      <w:r w:rsidRPr="005F6F39">
        <w:rPr>
          <w:rStyle w:val="StyleBoldUnderline"/>
        </w:rPr>
        <w:t xml:space="preserve">While it is often difficult to survive in a¶ binary system when one refuses to choose, </w:t>
      </w:r>
      <w:r w:rsidRPr="00E62A53">
        <w:rPr>
          <w:rStyle w:val="StyleBoldUnderline"/>
          <w:highlight w:val="yellow"/>
        </w:rPr>
        <w:t xml:space="preserve">there is </w:t>
      </w:r>
      <w:r w:rsidRPr="00E62A53">
        <w:rPr>
          <w:rStyle w:val="Emphasis"/>
          <w:highlight w:val="yellow"/>
        </w:rPr>
        <w:t>agency</w:t>
      </w:r>
      <w:r w:rsidRPr="00E62A53">
        <w:rPr>
          <w:rStyle w:val="StyleBoldUnderline"/>
          <w:highlight w:val="yellow"/>
        </w:rPr>
        <w:t xml:space="preserve"> in </w:t>
      </w:r>
      <w:r w:rsidRPr="00E62A53">
        <w:rPr>
          <w:rStyle w:val="Emphasis"/>
          <w:highlight w:val="yellow"/>
        </w:rPr>
        <w:t>not forcing¶ oneself</w:t>
      </w:r>
      <w:r w:rsidRPr="00E62A53">
        <w:rPr>
          <w:rStyle w:val="StyleBoldUnderline"/>
          <w:highlight w:val="yellow"/>
        </w:rPr>
        <w:t xml:space="preserve"> into a category.</w:t>
      </w:r>
      <w:proofErr w:type="gramEnd"/>
    </w:p>
    <w:p w:rsidR="00161ACD" w:rsidRPr="00B2532D" w:rsidRDefault="00161ACD" w:rsidP="00161ACD"/>
    <w:p w:rsidR="00161ACD" w:rsidRDefault="00161ACD" w:rsidP="00161ACD">
      <w:pPr>
        <w:pStyle w:val="Heading4"/>
      </w:pPr>
      <w:r>
        <w:t>Appeals for institutional restrain are a crucial supplement to political resistance to executive power.</w:t>
      </w:r>
    </w:p>
    <w:p w:rsidR="00161ACD" w:rsidRDefault="00161ACD" w:rsidP="00161ACD"/>
    <w:p w:rsidR="00161ACD" w:rsidRDefault="00161ACD" w:rsidP="00161ACD">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161ACD" w:rsidRDefault="00161ACD" w:rsidP="00161ACD"/>
    <w:p w:rsidR="00161ACD" w:rsidRDefault="00161ACD" w:rsidP="00161ACD">
      <w:r w:rsidRPr="004B395D">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4B395D">
        <w:t xml:space="preserve">President </w:t>
      </w:r>
      <w:r w:rsidRPr="00281870">
        <w:rPr>
          <w:rStyle w:val="StyleBoldUnderline"/>
          <w:highlight w:val="yellow"/>
        </w:rPr>
        <w:t>Bush</w:t>
      </w:r>
      <w:r w:rsidRPr="00352D9B">
        <w:rPr>
          <w:highlight w:val="yellow"/>
        </w:rPr>
        <w:t>,</w:t>
      </w:r>
      <w:r w:rsidRPr="004B395D">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4B395D">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4B395D">
        <w:t>fidelity t</w:t>
      </w:r>
      <w:r w:rsidRPr="00281870">
        <w: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4B395D">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4B395D">
        <w:t xml:space="preserve"> in Germany, or </w:t>
      </w:r>
      <w:r w:rsidRPr="004B395D">
        <w:rPr>
          <w:rStyle w:val="StyleBoldUnderline"/>
        </w:rPr>
        <w:t>xenophobia</w:t>
      </w:r>
      <w:r w:rsidRPr="004B395D">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4B395D">
        <w:t xml:space="preserve">Unlike the politics Posner and Vermeule imagine, </w:t>
      </w:r>
      <w:r w:rsidRPr="004B395D">
        <w:rPr>
          <w:rStyle w:val="StyleBoldUnderline"/>
        </w:rPr>
        <w:t>this</w:t>
      </w:r>
      <w:r w:rsidRPr="004B395D">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4B395D">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4B395D">
        <w:t xml:space="preserve"> </w:t>
      </w:r>
      <w:r w:rsidRPr="004B395D">
        <w:rPr>
          <w:rStyle w:val="StyleBoldUnderline"/>
        </w:rPr>
        <w:t xml:space="preserve">objecting to departures from </w:t>
      </w:r>
      <w:r w:rsidRPr="004B395D">
        <w:rPr>
          <w:rStyle w:val="Emphasis"/>
        </w:rPr>
        <w:t>distinctly legal norms</w:t>
      </w:r>
      <w:r w:rsidRPr="004B395D">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4B395D">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4B395D">
        <w:t xml:space="preserve"> and, as discussed above, </w:t>
      </w:r>
      <w:r w:rsidRPr="004B395D">
        <w:rPr>
          <w:rStyle w:val="StyleBoldUnderline"/>
        </w:rPr>
        <w:t>that pressure then played a critical role in the litigation’s outcome, which in turn affected the political pressure for reform. T</w:t>
      </w:r>
      <w:r w:rsidRPr="004B395D">
        <w:t xml:space="preserve">here is, to be sure, something paradoxical about this assessment. The rule of law, the separation of powers, and human rights are designed to discipline and constrain politics, out of a concern that </w:t>
      </w:r>
      <w:r w:rsidRPr="004B395D">
        <w:lastRenderedPageBreak/>
        <w:t>pure majoritarian politics, focused on the short term, is likely to discount the long-term values of these principles. Yet without a critical mass of political support for these legal principles, they are unlikely to be effective checks on abuse, for many of the reasons Posner and</w:t>
      </w:r>
      <w:r>
        <w:t xml:space="preserve">Vermeule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t xml:space="preserve">. </w:t>
      </w:r>
      <w:r w:rsidRPr="004B395D">
        <w:rPr>
          <w:rStyle w:val="StyleBoldUnderline"/>
        </w:rPr>
        <w:t>Civil society organizations devoted to such values</w:t>
      </w:r>
      <w:r>
        <w:t xml:space="preserve">, </w:t>
      </w:r>
      <w:r w:rsidRPr="004B395D">
        <w:rPr>
          <w:rStyle w:val="StyleBoldUnderline"/>
        </w:rPr>
        <w:t>such as Human Rights Watch, the Center for Constitutional Rights, and the American Civil Liberties Union, play a central role in facilitating, informing, and generating that politics</w:t>
      </w:r>
      <w:r>
        <w:t xml:space="preserve">. Indeed, </w:t>
      </w:r>
      <w:r w:rsidRPr="004B395D">
        <w:rPr>
          <w:rStyle w:val="StyleBoldUnderline"/>
        </w:rPr>
        <w:t>they have no alternative.</w:t>
      </w:r>
      <w: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t, educating the public, exposing abuses, and engaging in public advocacy around rule-of-law values</w:t>
      </w:r>
      <w:r>
        <w:t xml:space="preserve">. Unlike ordinary politics, which tends to focus on the preferences of the moment, </w:t>
      </w:r>
      <w:r w:rsidRPr="004B395D">
        <w:rPr>
          <w:rStyle w:val="StyleBoldUnderline"/>
        </w:rPr>
        <w:t>the politics of the rule of law is committed to a set of long-term principles.</w:t>
      </w:r>
      <w:r>
        <w:t xml:space="preserve"> </w:t>
      </w:r>
      <w:r w:rsidRPr="004B395D">
        <w:rPr>
          <w:rStyle w:val="StyleBoldUnderline"/>
        </w:rPr>
        <w:t>Civil society organizations are uniquely situated to bring these long-term interests to bear on the public debate.</w:t>
      </w:r>
      <w: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w:t>
      </w:r>
      <w:r w:rsidRPr="004B395D">
        <w:t xml:space="preserve"> </w:t>
      </w:r>
      <w:r>
        <w:t xml:space="preserve">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352D9B">
        <w:rPr>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t xml:space="preserve">. </w:t>
      </w:r>
      <w:r w:rsidRPr="00352D9B">
        <w:rPr>
          <w:rStyle w:val="StyleBoldUnderline"/>
          <w:highlight w:val="yellow"/>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t xml:space="preserve"> We cannot survive as a constitutional democracy true to our principles without both. And our survival turns, not only on a vibrant constitution, but on a vibrant civil society dedicated to reinforcing and defending constitutional values.</w:t>
      </w:r>
    </w:p>
    <w:p w:rsidR="00161ACD" w:rsidRDefault="00161ACD" w:rsidP="00161ACD"/>
    <w:p w:rsidR="00161ACD" w:rsidRDefault="00161ACD" w:rsidP="00161ACD">
      <w:pPr>
        <w:pStyle w:val="Heading4"/>
      </w:pPr>
      <w:r>
        <w:t>No root cause of war so changing existing norms alone fails– counter-cultural pressures require political agency that respects the power of dominant systems.</w:t>
      </w:r>
    </w:p>
    <w:p w:rsidR="00161ACD" w:rsidRDefault="00161ACD" w:rsidP="00161ACD">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161ACD" w:rsidRDefault="00161ACD" w:rsidP="00161ACD"/>
    <w:p w:rsidR="00161ACD" w:rsidRPr="00A53141" w:rsidRDefault="00161ACD" w:rsidP="00161ACD">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w:t>
      </w:r>
      <w:r w:rsidRPr="00A53141">
        <w:rPr>
          <w:sz w:val="16"/>
        </w:rPr>
        <w:lastRenderedPageBreak/>
        <w:t xml:space="preserve">international anarchy. </w:t>
      </w:r>
      <w:proofErr w:type="gramStart"/>
      <w:r w:rsidRPr="00A53141">
        <w:rPr>
          <w:sz w:val="16"/>
        </w:rPr>
        <w:t>' This</w:t>
      </w:r>
      <w:proofErr w:type="gramEnd"/>
      <w:r w:rsidRPr="00A53141">
        <w:rPr>
          <w:sz w:val="16"/>
        </w:rPr>
        <w:t xml:space="preserve">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Those who foresee substantial 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w:t>
      </w:r>
      <w:proofErr w:type="gramStart"/>
      <w:r w:rsidRPr="00A53141">
        <w:rPr>
          <w:sz w:val="16"/>
        </w:rPr>
        <w:t xml:space="preserve">" </w:t>
      </w:r>
      <w:r w:rsidRPr="00A53141">
        <w:rPr>
          <w:rStyle w:val="StyleBoldUnderline"/>
          <w:highlight w:val="yellow"/>
        </w:rPr>
        <w:t>ideas</w:t>
      </w:r>
      <w:proofErr w:type="gramEnd"/>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ca lls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proofErr w:type="gramStart"/>
      <w:r w:rsidRPr="00A53141">
        <w:rPr>
          <w:sz w:val="16"/>
        </w:rPr>
        <w:t>Testing the effects of culture: insights from the anthropology of war Current debates about anarchy and culture have been carried out largely at the level of abstract philosophy and visceral morality.</w:t>
      </w:r>
      <w:proofErr w:type="gramEnd"/>
      <w:r w:rsidRPr="00A53141">
        <w:rPr>
          <w:sz w:val="16"/>
        </w:rPr>
        <w:t xml:space="preserve">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A53141">
        <w:rPr>
          <w:sz w:val="16"/>
        </w:rPr>
        <w:t>developments ,</w:t>
      </w:r>
      <w:proofErr w:type="gramEnd"/>
      <w:r w:rsidRPr="00A53141">
        <w:rPr>
          <w:sz w:val="16"/>
        </w:rPr>
        <w:t xml:space="preserve"> it is </w:t>
      </w:r>
      <w:r w:rsidRPr="00A53141">
        <w:rPr>
          <w:sz w:val="16"/>
        </w:rPr>
        <w:lastRenderedPageBreak/>
        <w:t xml:space="preserve">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161ACD" w:rsidRPr="00D17C4E" w:rsidRDefault="00161ACD" w:rsidP="00161ACD"/>
    <w:p w:rsidR="00161ACD" w:rsidRPr="00E66913" w:rsidRDefault="00161ACD" w:rsidP="00161ACD"/>
    <w:p w:rsidR="00161ACD" w:rsidRPr="00D17C4E" w:rsidRDefault="00161ACD" w:rsidP="00161ACD"/>
    <w:p w:rsidR="00161ACD" w:rsidRPr="00161ACD" w:rsidRDefault="00161ACD" w:rsidP="00161ACD"/>
    <w:sectPr w:rsidR="00161ACD" w:rsidRPr="00161AC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11" w:rsidRDefault="00F11C11" w:rsidP="005F5576">
      <w:r>
        <w:separator/>
      </w:r>
    </w:p>
  </w:endnote>
  <w:endnote w:type="continuationSeparator" w:id="0">
    <w:p w:rsidR="00F11C11" w:rsidRDefault="00F11C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noPr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11" w:rsidRDefault="00F11C11" w:rsidP="005F5576">
      <w:r>
        <w:separator/>
      </w:r>
    </w:p>
  </w:footnote>
  <w:footnote w:type="continuationSeparator" w:id="0">
    <w:p w:rsidR="00F11C11" w:rsidRDefault="00F11C1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CD"/>
    <w:rsid w:val="000022F2"/>
    <w:rsid w:val="0000459F"/>
    <w:rsid w:val="00004EB4"/>
    <w:rsid w:val="000159F4"/>
    <w:rsid w:val="0002196C"/>
    <w:rsid w:val="00021F29"/>
    <w:rsid w:val="00027EED"/>
    <w:rsid w:val="0003041D"/>
    <w:rsid w:val="00033028"/>
    <w:rsid w:val="000360A7"/>
    <w:rsid w:val="0004607B"/>
    <w:rsid w:val="00052A1D"/>
    <w:rsid w:val="00055E12"/>
    <w:rsid w:val="00064A59"/>
    <w:rsid w:val="0007162E"/>
    <w:rsid w:val="00073B9A"/>
    <w:rsid w:val="000852EB"/>
    <w:rsid w:val="00090287"/>
    <w:rsid w:val="00090BA2"/>
    <w:rsid w:val="000978A3"/>
    <w:rsid w:val="00097D7E"/>
    <w:rsid w:val="000A0257"/>
    <w:rsid w:val="000A1D39"/>
    <w:rsid w:val="000A4FA5"/>
    <w:rsid w:val="000B168A"/>
    <w:rsid w:val="000B61C8"/>
    <w:rsid w:val="000C767D"/>
    <w:rsid w:val="000D0B76"/>
    <w:rsid w:val="000D2AE5"/>
    <w:rsid w:val="000D3A26"/>
    <w:rsid w:val="000D3D8D"/>
    <w:rsid w:val="000E41A3"/>
    <w:rsid w:val="000F37E7"/>
    <w:rsid w:val="000F71CE"/>
    <w:rsid w:val="00113C68"/>
    <w:rsid w:val="00114663"/>
    <w:rsid w:val="0012057B"/>
    <w:rsid w:val="00126D92"/>
    <w:rsid w:val="00126FCF"/>
    <w:rsid w:val="001301AC"/>
    <w:rsid w:val="001304DF"/>
    <w:rsid w:val="00131E1E"/>
    <w:rsid w:val="00140397"/>
    <w:rsid w:val="0014072D"/>
    <w:rsid w:val="00141F7D"/>
    <w:rsid w:val="00141FBF"/>
    <w:rsid w:val="001537D2"/>
    <w:rsid w:val="00161ACD"/>
    <w:rsid w:val="0016509D"/>
    <w:rsid w:val="0016711C"/>
    <w:rsid w:val="00167A9F"/>
    <w:rsid w:val="001711E1"/>
    <w:rsid w:val="00175018"/>
    <w:rsid w:val="00177828"/>
    <w:rsid w:val="00177A1E"/>
    <w:rsid w:val="00182D51"/>
    <w:rsid w:val="00183E18"/>
    <w:rsid w:val="0018565A"/>
    <w:rsid w:val="00190BC7"/>
    <w:rsid w:val="0019587B"/>
    <w:rsid w:val="001A4F0E"/>
    <w:rsid w:val="001B0A04"/>
    <w:rsid w:val="001B3CEC"/>
    <w:rsid w:val="001C012A"/>
    <w:rsid w:val="001C1D82"/>
    <w:rsid w:val="001C2147"/>
    <w:rsid w:val="001C587E"/>
    <w:rsid w:val="001C7C90"/>
    <w:rsid w:val="001D0D51"/>
    <w:rsid w:val="001D68A7"/>
    <w:rsid w:val="001F7572"/>
    <w:rsid w:val="0020006E"/>
    <w:rsid w:val="002009AE"/>
    <w:rsid w:val="002101DA"/>
    <w:rsid w:val="00217499"/>
    <w:rsid w:val="002175D1"/>
    <w:rsid w:val="00220542"/>
    <w:rsid w:val="0024023F"/>
    <w:rsid w:val="00240C4E"/>
    <w:rsid w:val="00243DC0"/>
    <w:rsid w:val="0024559F"/>
    <w:rsid w:val="00250E16"/>
    <w:rsid w:val="00257696"/>
    <w:rsid w:val="0026382E"/>
    <w:rsid w:val="00272786"/>
    <w:rsid w:val="00274EFF"/>
    <w:rsid w:val="00287AB7"/>
    <w:rsid w:val="00294D00"/>
    <w:rsid w:val="002A213E"/>
    <w:rsid w:val="002A612B"/>
    <w:rsid w:val="002B68A4"/>
    <w:rsid w:val="002C24AC"/>
    <w:rsid w:val="002C571D"/>
    <w:rsid w:val="002C5772"/>
    <w:rsid w:val="002D0374"/>
    <w:rsid w:val="002D23BB"/>
    <w:rsid w:val="002D2946"/>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477"/>
    <w:rsid w:val="0034756E"/>
    <w:rsid w:val="00347E74"/>
    <w:rsid w:val="00351D97"/>
    <w:rsid w:val="00354B5B"/>
    <w:rsid w:val="00363A4F"/>
    <w:rsid w:val="00383E0A"/>
    <w:rsid w:val="003847C7"/>
    <w:rsid w:val="00385298"/>
    <w:rsid w:val="003852CE"/>
    <w:rsid w:val="00392E92"/>
    <w:rsid w:val="00395C83"/>
    <w:rsid w:val="003A2A3B"/>
    <w:rsid w:val="003A440C"/>
    <w:rsid w:val="003B024E"/>
    <w:rsid w:val="003B0C84"/>
    <w:rsid w:val="003B183E"/>
    <w:rsid w:val="003B2F3E"/>
    <w:rsid w:val="003B55B7"/>
    <w:rsid w:val="003B74D4"/>
    <w:rsid w:val="003C2CA2"/>
    <w:rsid w:val="003C756E"/>
    <w:rsid w:val="003D2C33"/>
    <w:rsid w:val="003E4831"/>
    <w:rsid w:val="003E48DE"/>
    <w:rsid w:val="003E7E8B"/>
    <w:rsid w:val="003F141B"/>
    <w:rsid w:val="003F3030"/>
    <w:rsid w:val="003F47AE"/>
    <w:rsid w:val="004038D2"/>
    <w:rsid w:val="00403971"/>
    <w:rsid w:val="00407386"/>
    <w:rsid w:val="004138EF"/>
    <w:rsid w:val="004319DE"/>
    <w:rsid w:val="00435232"/>
    <w:rsid w:val="00435589"/>
    <w:rsid w:val="004400EA"/>
    <w:rsid w:val="00450882"/>
    <w:rsid w:val="00451C20"/>
    <w:rsid w:val="00452001"/>
    <w:rsid w:val="0045442E"/>
    <w:rsid w:val="004564E2"/>
    <w:rsid w:val="00462418"/>
    <w:rsid w:val="004713F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1CE"/>
    <w:rsid w:val="004F16B3"/>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57B"/>
    <w:rsid w:val="00563468"/>
    <w:rsid w:val="00564EC2"/>
    <w:rsid w:val="00565EAE"/>
    <w:rsid w:val="00573677"/>
    <w:rsid w:val="00575F7D"/>
    <w:rsid w:val="00580383"/>
    <w:rsid w:val="00580E40"/>
    <w:rsid w:val="00590731"/>
    <w:rsid w:val="0059721C"/>
    <w:rsid w:val="005A506B"/>
    <w:rsid w:val="005A701C"/>
    <w:rsid w:val="005B2444"/>
    <w:rsid w:val="005B2D14"/>
    <w:rsid w:val="005B3140"/>
    <w:rsid w:val="005B4C9C"/>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ECF"/>
    <w:rsid w:val="006C64D4"/>
    <w:rsid w:val="006D1FE8"/>
    <w:rsid w:val="006E2BF0"/>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3ED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256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0867"/>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2AC"/>
    <w:rsid w:val="00935127"/>
    <w:rsid w:val="0094025E"/>
    <w:rsid w:val="0094256C"/>
    <w:rsid w:val="0094556A"/>
    <w:rsid w:val="0095172D"/>
    <w:rsid w:val="00953F11"/>
    <w:rsid w:val="009706C1"/>
    <w:rsid w:val="009757E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64A"/>
    <w:rsid w:val="00AA0974"/>
    <w:rsid w:val="00AA19C2"/>
    <w:rsid w:val="00AB3B76"/>
    <w:rsid w:val="00AB61DD"/>
    <w:rsid w:val="00AC222F"/>
    <w:rsid w:val="00AC2CC7"/>
    <w:rsid w:val="00AC7B3B"/>
    <w:rsid w:val="00AD3CE6"/>
    <w:rsid w:val="00AD5AD7"/>
    <w:rsid w:val="00AE1307"/>
    <w:rsid w:val="00AE7586"/>
    <w:rsid w:val="00AF7A65"/>
    <w:rsid w:val="00B06710"/>
    <w:rsid w:val="00B07EBF"/>
    <w:rsid w:val="00B166CB"/>
    <w:rsid w:val="00B235E1"/>
    <w:rsid w:val="00B272CF"/>
    <w:rsid w:val="00B3145D"/>
    <w:rsid w:val="00B357BA"/>
    <w:rsid w:val="00B436EA"/>
    <w:rsid w:val="00B564DB"/>
    <w:rsid w:val="00B618DC"/>
    <w:rsid w:val="00B65EE4"/>
    <w:rsid w:val="00B675D1"/>
    <w:rsid w:val="00B768B6"/>
    <w:rsid w:val="00B816A3"/>
    <w:rsid w:val="00B908D1"/>
    <w:rsid w:val="00B940D1"/>
    <w:rsid w:val="00BB58BD"/>
    <w:rsid w:val="00BB6A26"/>
    <w:rsid w:val="00BC1034"/>
    <w:rsid w:val="00BE2408"/>
    <w:rsid w:val="00BE3EC6"/>
    <w:rsid w:val="00BE5AF3"/>
    <w:rsid w:val="00BE5BEB"/>
    <w:rsid w:val="00BE6528"/>
    <w:rsid w:val="00C0087A"/>
    <w:rsid w:val="00C05F9D"/>
    <w:rsid w:val="00C21529"/>
    <w:rsid w:val="00C27212"/>
    <w:rsid w:val="00C306AC"/>
    <w:rsid w:val="00C34185"/>
    <w:rsid w:val="00C42DD6"/>
    <w:rsid w:val="00C545E7"/>
    <w:rsid w:val="00C64DC6"/>
    <w:rsid w:val="00C66858"/>
    <w:rsid w:val="00C72E69"/>
    <w:rsid w:val="00C7411E"/>
    <w:rsid w:val="00C84988"/>
    <w:rsid w:val="00CA4AF6"/>
    <w:rsid w:val="00CA59CA"/>
    <w:rsid w:val="00CA6477"/>
    <w:rsid w:val="00CA6B9E"/>
    <w:rsid w:val="00CB2356"/>
    <w:rsid w:val="00CB3C79"/>
    <w:rsid w:val="00CB4075"/>
    <w:rsid w:val="00CB4E6D"/>
    <w:rsid w:val="00CB70F7"/>
    <w:rsid w:val="00CC23DE"/>
    <w:rsid w:val="00CD3E3A"/>
    <w:rsid w:val="00CD7459"/>
    <w:rsid w:val="00CE1235"/>
    <w:rsid w:val="00CE55A6"/>
    <w:rsid w:val="00CF13FC"/>
    <w:rsid w:val="00CF31F8"/>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1CC"/>
    <w:rsid w:val="00D31DF7"/>
    <w:rsid w:val="00D33B91"/>
    <w:rsid w:val="00D415C6"/>
    <w:rsid w:val="00D420EA"/>
    <w:rsid w:val="00D4639E"/>
    <w:rsid w:val="00D47C66"/>
    <w:rsid w:val="00D51ABF"/>
    <w:rsid w:val="00D52874"/>
    <w:rsid w:val="00D5444B"/>
    <w:rsid w:val="00D55302"/>
    <w:rsid w:val="00D57CBF"/>
    <w:rsid w:val="00D66ABC"/>
    <w:rsid w:val="00D71CFC"/>
    <w:rsid w:val="00D76FBA"/>
    <w:rsid w:val="00D86024"/>
    <w:rsid w:val="00D94CA3"/>
    <w:rsid w:val="00D96595"/>
    <w:rsid w:val="00DA018C"/>
    <w:rsid w:val="00DA3C9D"/>
    <w:rsid w:val="00DB0F7E"/>
    <w:rsid w:val="00DB5489"/>
    <w:rsid w:val="00DB6C98"/>
    <w:rsid w:val="00DB70B2"/>
    <w:rsid w:val="00DC21E6"/>
    <w:rsid w:val="00DC701C"/>
    <w:rsid w:val="00DD5E5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877"/>
    <w:rsid w:val="00E674DB"/>
    <w:rsid w:val="00E70240"/>
    <w:rsid w:val="00E70912"/>
    <w:rsid w:val="00E75F28"/>
    <w:rsid w:val="00E8009A"/>
    <w:rsid w:val="00E90AA6"/>
    <w:rsid w:val="00E92914"/>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119E"/>
    <w:rsid w:val="00F11C11"/>
    <w:rsid w:val="00F13C52"/>
    <w:rsid w:val="00F17D96"/>
    <w:rsid w:val="00F22565"/>
    <w:rsid w:val="00F3380E"/>
    <w:rsid w:val="00F40837"/>
    <w:rsid w:val="00F42F79"/>
    <w:rsid w:val="00F47773"/>
    <w:rsid w:val="00F5019D"/>
    <w:rsid w:val="00F56308"/>
    <w:rsid w:val="00F6180D"/>
    <w:rsid w:val="00F634D6"/>
    <w:rsid w:val="00F64385"/>
    <w:rsid w:val="00F6473F"/>
    <w:rsid w:val="00F71FF9"/>
    <w:rsid w:val="00F76366"/>
    <w:rsid w:val="00F805C0"/>
    <w:rsid w:val="00FB4261"/>
    <w:rsid w:val="00FB43B1"/>
    <w:rsid w:val="00FC0608"/>
    <w:rsid w:val="00FC2155"/>
    <w:rsid w:val="00FC41A7"/>
    <w:rsid w:val="00FC6AFD"/>
    <w:rsid w:val="00FD675B"/>
    <w:rsid w:val="00FD7483"/>
    <w:rsid w:val="00FE352F"/>
    <w:rsid w:val="00FE380E"/>
    <w:rsid w:val="00FE4404"/>
    <w:rsid w:val="00FE7141"/>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12,No Spacing1121,CD - Cite,Heading 2 Char2 Char,TAG,Ch,t,Heading 2 Char1 Char Char,small space,Dont use,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Emphasis!!,Bold Underline,small,Qualifications,bold underline,normal card text,Underlined"/>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 Underline,Bold Cite Char,ci,c,Style,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No Spacing112 Char,No Spacing1121 Char,CD - Cite Char,Heading 2 Char2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cardChar"/>
    <w:uiPriority w:val="6"/>
    <w:qFormat/>
    <w:rsid w:val="00161ACD"/>
    <w:pPr>
      <w:ind w:left="288" w:right="288"/>
    </w:pPr>
    <w:rPr>
      <w:rFonts w:asciiTheme="minorHAnsi" w:hAnsiTheme="minorHAnsi" w:cstheme="minorBidi"/>
      <w:bCs/>
      <w:u w:val="single"/>
    </w:rPr>
  </w:style>
  <w:style w:type="character" w:customStyle="1" w:styleId="cardChar">
    <w:name w:val="card Char"/>
    <w:link w:val="card"/>
    <w:uiPriority w:val="6"/>
    <w:locked/>
    <w:rsid w:val="00161ACD"/>
    <w:rPr>
      <w:bCs/>
      <w:u w:val="single"/>
    </w:rPr>
  </w:style>
  <w:style w:type="character" w:customStyle="1" w:styleId="TitleChar1">
    <w:name w:val="Title Char1"/>
    <w:aliases w:val="Cites and Cards Char,Bold Underlined Char,UNDERLINE Char"/>
    <w:basedOn w:val="DefaultParagraphFont"/>
    <w:link w:val="Title"/>
    <w:uiPriority w:val="6"/>
    <w:rsid w:val="00161ACD"/>
    <w:rPr>
      <w:bCs/>
      <w:sz w:val="24"/>
      <w:u w:val="single"/>
    </w:rPr>
  </w:style>
  <w:style w:type="paragraph" w:styleId="Title">
    <w:name w:val="Title"/>
    <w:aliases w:val="Cites and Cards,Bold Underlined,UNDERLINE"/>
    <w:basedOn w:val="Normal"/>
    <w:next w:val="BodyText"/>
    <w:link w:val="TitleChar1"/>
    <w:uiPriority w:val="6"/>
    <w:qFormat/>
    <w:rsid w:val="00161ACD"/>
    <w:pPr>
      <w:keepNext/>
      <w:keepLines/>
      <w:spacing w:after="240"/>
      <w:jc w:val="center"/>
      <w:outlineLvl w:val="0"/>
    </w:pPr>
    <w:rPr>
      <w:rFonts w:asciiTheme="minorHAnsi" w:hAnsiTheme="minorHAnsi" w:cstheme="minorBidi"/>
      <w:bCs/>
      <w:sz w:val="24"/>
      <w:u w:val="single"/>
    </w:rPr>
  </w:style>
  <w:style w:type="character" w:customStyle="1" w:styleId="TitleChar2">
    <w:name w:val="Title Char2"/>
    <w:basedOn w:val="DefaultParagraphFont"/>
    <w:uiPriority w:val="10"/>
    <w:semiHidden/>
    <w:rsid w:val="00161AC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61ACD"/>
    <w:pPr>
      <w:spacing w:after="120"/>
    </w:pPr>
  </w:style>
  <w:style w:type="character" w:customStyle="1" w:styleId="BodyTextChar">
    <w:name w:val="Body Text Char"/>
    <w:basedOn w:val="DefaultParagraphFont"/>
    <w:link w:val="BodyText"/>
    <w:uiPriority w:val="99"/>
    <w:semiHidden/>
    <w:rsid w:val="00161ACD"/>
    <w:rPr>
      <w:rFonts w:ascii="Garamond" w:hAnsi="Garamond" w:cs="Calibri"/>
    </w:rPr>
  </w:style>
  <w:style w:type="character" w:customStyle="1" w:styleId="cardtextChar">
    <w:name w:val="card text Char"/>
    <w:basedOn w:val="DefaultParagraphFont"/>
    <w:link w:val="cardtext"/>
    <w:locked/>
    <w:rsid w:val="00161ACD"/>
    <w:rPr>
      <w:rFonts w:ascii="Georgia" w:hAnsi="Georgia" w:cs="Times New Roman"/>
    </w:rPr>
  </w:style>
  <w:style w:type="paragraph" w:customStyle="1" w:styleId="cardtext">
    <w:name w:val="card text"/>
    <w:basedOn w:val="Normal"/>
    <w:link w:val="cardtextChar"/>
    <w:qFormat/>
    <w:rsid w:val="00161ACD"/>
    <w:pPr>
      <w:ind w:left="288" w:right="288"/>
    </w:pPr>
    <w:rPr>
      <w:rFonts w:ascii="Georgia" w:hAnsi="Georgia" w:cs="Times New Roman"/>
    </w:rPr>
  </w:style>
  <w:style w:type="character" w:customStyle="1" w:styleId="underline">
    <w:name w:val="underline"/>
    <w:link w:val="textbold"/>
    <w:qFormat/>
    <w:locked/>
    <w:rsid w:val="00161ACD"/>
    <w:rPr>
      <w:u w:val="single"/>
    </w:rPr>
  </w:style>
  <w:style w:type="paragraph" w:customStyle="1" w:styleId="textbold">
    <w:name w:val="text bold"/>
    <w:basedOn w:val="Normal"/>
    <w:link w:val="underline"/>
    <w:rsid w:val="00161ACD"/>
    <w:pPr>
      <w:ind w:left="720"/>
      <w:jc w:val="both"/>
    </w:pPr>
    <w:rPr>
      <w:rFonts w:asciiTheme="minorHAnsi" w:hAnsiTheme="minorHAnsi" w:cstheme="minorBidi"/>
      <w:u w:val="single"/>
    </w:rPr>
  </w:style>
  <w:style w:type="character" w:customStyle="1" w:styleId="UnderlineBold">
    <w:name w:val="Underline + Bold"/>
    <w:uiPriority w:val="1"/>
    <w:qFormat/>
    <w:rsid w:val="00161ACD"/>
    <w:rPr>
      <w:b/>
      <w:sz w:val="20"/>
      <w:u w:val="single"/>
    </w:rPr>
  </w:style>
  <w:style w:type="character" w:customStyle="1" w:styleId="Box">
    <w:name w:val="Box"/>
    <w:basedOn w:val="DefaultParagraphFont"/>
    <w:uiPriority w:val="1"/>
    <w:qFormat/>
    <w:rsid w:val="00161ACD"/>
    <w:rPr>
      <w:b/>
      <w:u w:val="single"/>
      <w:bdr w:val="single" w:sz="4" w:space="0" w:color="auto"/>
    </w:rPr>
  </w:style>
  <w:style w:type="character" w:customStyle="1" w:styleId="emailstyle18">
    <w:name w:val="emailstyle18"/>
    <w:basedOn w:val="DefaultParagraphFont"/>
    <w:rsid w:val="00161ACD"/>
  </w:style>
  <w:style w:type="paragraph" w:customStyle="1" w:styleId="StyleLeft02">
    <w:name w:val="Style Left:  0.2&quot;"/>
    <w:basedOn w:val="Normal"/>
    <w:rsid w:val="00161ACD"/>
    <w:rPr>
      <w:rFonts w:eastAsia="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12,No Spacing1121,CD - Cite,Heading 2 Char2 Char,TAG,Ch,t,Heading 2 Char1 Char Char,small space,Dont use,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Emphasis!!,Bold Underline,small,Qualifications,bold underline,normal card text,Underlined"/>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 Underline,Bold Cite Char,ci,c,Style,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No Spacing112 Char,No Spacing1121 Char,CD - Cite Char,Heading 2 Char2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cardChar"/>
    <w:uiPriority w:val="6"/>
    <w:qFormat/>
    <w:rsid w:val="00161ACD"/>
    <w:pPr>
      <w:ind w:left="288" w:right="288"/>
    </w:pPr>
    <w:rPr>
      <w:rFonts w:asciiTheme="minorHAnsi" w:hAnsiTheme="minorHAnsi" w:cstheme="minorBidi"/>
      <w:bCs/>
      <w:u w:val="single"/>
    </w:rPr>
  </w:style>
  <w:style w:type="character" w:customStyle="1" w:styleId="cardChar">
    <w:name w:val="card Char"/>
    <w:link w:val="card"/>
    <w:uiPriority w:val="6"/>
    <w:locked/>
    <w:rsid w:val="00161ACD"/>
    <w:rPr>
      <w:bCs/>
      <w:u w:val="single"/>
    </w:rPr>
  </w:style>
  <w:style w:type="character" w:customStyle="1" w:styleId="TitleChar1">
    <w:name w:val="Title Char1"/>
    <w:aliases w:val="Cites and Cards Char,Bold Underlined Char,UNDERLINE Char"/>
    <w:basedOn w:val="DefaultParagraphFont"/>
    <w:link w:val="Title"/>
    <w:uiPriority w:val="6"/>
    <w:rsid w:val="00161ACD"/>
    <w:rPr>
      <w:bCs/>
      <w:sz w:val="24"/>
      <w:u w:val="single"/>
    </w:rPr>
  </w:style>
  <w:style w:type="paragraph" w:styleId="Title">
    <w:name w:val="Title"/>
    <w:aliases w:val="Cites and Cards,Bold Underlined,UNDERLINE"/>
    <w:basedOn w:val="Normal"/>
    <w:next w:val="BodyText"/>
    <w:link w:val="TitleChar1"/>
    <w:uiPriority w:val="6"/>
    <w:qFormat/>
    <w:rsid w:val="00161ACD"/>
    <w:pPr>
      <w:keepNext/>
      <w:keepLines/>
      <w:spacing w:after="240"/>
      <w:jc w:val="center"/>
      <w:outlineLvl w:val="0"/>
    </w:pPr>
    <w:rPr>
      <w:rFonts w:asciiTheme="minorHAnsi" w:hAnsiTheme="minorHAnsi" w:cstheme="minorBidi"/>
      <w:bCs/>
      <w:sz w:val="24"/>
      <w:u w:val="single"/>
    </w:rPr>
  </w:style>
  <w:style w:type="character" w:customStyle="1" w:styleId="TitleChar2">
    <w:name w:val="Title Char2"/>
    <w:basedOn w:val="DefaultParagraphFont"/>
    <w:uiPriority w:val="10"/>
    <w:semiHidden/>
    <w:rsid w:val="00161AC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61ACD"/>
    <w:pPr>
      <w:spacing w:after="120"/>
    </w:pPr>
  </w:style>
  <w:style w:type="character" w:customStyle="1" w:styleId="BodyTextChar">
    <w:name w:val="Body Text Char"/>
    <w:basedOn w:val="DefaultParagraphFont"/>
    <w:link w:val="BodyText"/>
    <w:uiPriority w:val="99"/>
    <w:semiHidden/>
    <w:rsid w:val="00161ACD"/>
    <w:rPr>
      <w:rFonts w:ascii="Garamond" w:hAnsi="Garamond" w:cs="Calibri"/>
    </w:rPr>
  </w:style>
  <w:style w:type="character" w:customStyle="1" w:styleId="cardtextChar">
    <w:name w:val="card text Char"/>
    <w:basedOn w:val="DefaultParagraphFont"/>
    <w:link w:val="cardtext"/>
    <w:locked/>
    <w:rsid w:val="00161ACD"/>
    <w:rPr>
      <w:rFonts w:ascii="Georgia" w:hAnsi="Georgia" w:cs="Times New Roman"/>
    </w:rPr>
  </w:style>
  <w:style w:type="paragraph" w:customStyle="1" w:styleId="cardtext">
    <w:name w:val="card text"/>
    <w:basedOn w:val="Normal"/>
    <w:link w:val="cardtextChar"/>
    <w:qFormat/>
    <w:rsid w:val="00161ACD"/>
    <w:pPr>
      <w:ind w:left="288" w:right="288"/>
    </w:pPr>
    <w:rPr>
      <w:rFonts w:ascii="Georgia" w:hAnsi="Georgia" w:cs="Times New Roman"/>
    </w:rPr>
  </w:style>
  <w:style w:type="character" w:customStyle="1" w:styleId="underline">
    <w:name w:val="underline"/>
    <w:link w:val="textbold"/>
    <w:qFormat/>
    <w:locked/>
    <w:rsid w:val="00161ACD"/>
    <w:rPr>
      <w:u w:val="single"/>
    </w:rPr>
  </w:style>
  <w:style w:type="paragraph" w:customStyle="1" w:styleId="textbold">
    <w:name w:val="text bold"/>
    <w:basedOn w:val="Normal"/>
    <w:link w:val="underline"/>
    <w:rsid w:val="00161ACD"/>
    <w:pPr>
      <w:ind w:left="720"/>
      <w:jc w:val="both"/>
    </w:pPr>
    <w:rPr>
      <w:rFonts w:asciiTheme="minorHAnsi" w:hAnsiTheme="minorHAnsi" w:cstheme="minorBidi"/>
      <w:u w:val="single"/>
    </w:rPr>
  </w:style>
  <w:style w:type="character" w:customStyle="1" w:styleId="UnderlineBold">
    <w:name w:val="Underline + Bold"/>
    <w:uiPriority w:val="1"/>
    <w:qFormat/>
    <w:rsid w:val="00161ACD"/>
    <w:rPr>
      <w:b/>
      <w:sz w:val="20"/>
      <w:u w:val="single"/>
    </w:rPr>
  </w:style>
  <w:style w:type="character" w:customStyle="1" w:styleId="Box">
    <w:name w:val="Box"/>
    <w:basedOn w:val="DefaultParagraphFont"/>
    <w:uiPriority w:val="1"/>
    <w:qFormat/>
    <w:rsid w:val="00161ACD"/>
    <w:rPr>
      <w:b/>
      <w:u w:val="single"/>
      <w:bdr w:val="single" w:sz="4" w:space="0" w:color="auto"/>
    </w:rPr>
  </w:style>
  <w:style w:type="character" w:customStyle="1" w:styleId="emailstyle18">
    <w:name w:val="emailstyle18"/>
    <w:basedOn w:val="DefaultParagraphFont"/>
    <w:rsid w:val="00161ACD"/>
  </w:style>
  <w:style w:type="paragraph" w:customStyle="1" w:styleId="StyleLeft02">
    <w:name w:val="Style Left:  0.2&quot;"/>
    <w:basedOn w:val="Normal"/>
    <w:rsid w:val="00161ACD"/>
    <w:rPr>
      <w:rFonts w:eastAsia="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35</Pages>
  <Words>21197</Words>
  <Characters>120827</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2013-11-16T17:40:00Z</dcterms:created>
  <dcterms:modified xsi:type="dcterms:W3CDTF">2013-11-16T17:42:00Z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